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212465" cy="419036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212465" cy="419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52.95pt;height:329.9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center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center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center"/>
        <w:rPr>
          <w:b/>
        </w:rPr>
      </w:pPr>
      <w:r>
        <w:rPr>
          <w:b/>
        </w:rPr>
        <w:t xml:space="preserve">ПОЯСНИТЕЛЬНАЯ ЗАПИСКА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к отчету об исполнении бюджета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Владивостокского городского округа за 2025 год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left"/>
        <w:tabs>
          <w:tab w:val="left" w:pos="7676" w:leader="none"/>
        </w:tabs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tabs>
          <w:tab w:val="left" w:pos="1841" w:leader="none"/>
          <w:tab w:val="left" w:pos="2760" w:leader="none"/>
        </w:tabs>
        <w:rPr>
          <w:sz w:val="12"/>
          <w:szCs w:val="12"/>
          <w:lang w:eastAsia="en-US"/>
        </w:rPr>
      </w:pPr>
      <w:r>
        <w:rPr>
          <w:sz w:val="24"/>
          <w:lang w:eastAsia="en-US"/>
        </w:rPr>
        <w:tab/>
      </w:r>
      <w:r>
        <w:rPr>
          <w:sz w:val="12"/>
          <w:szCs w:val="12"/>
          <w:lang w:eastAsia="en-US"/>
        </w:rPr>
      </w:r>
      <w:r>
        <w:rPr>
          <w:sz w:val="12"/>
          <w:szCs w:val="12"/>
          <w:lang w:eastAsia="en-US"/>
        </w:rPr>
      </w:r>
    </w:p>
    <w:p>
      <w:pPr>
        <w:pStyle w:val="902"/>
        <w:tabs>
          <w:tab w:val="right" w:pos="9628" w:leader="dot"/>
        </w:tabs>
        <w:rPr>
          <w:highlight w:val="none"/>
          <w14:ligatures w14:val="none"/>
        </w:rPr>
      </w:pPr>
      <w:r>
        <w:rPr>
          <w:szCs w:val="28"/>
        </w:rPr>
        <w:fldChar w:fldCharType="begin"/>
      </w:r>
      <w:r>
        <w:rPr>
          <w:szCs w:val="28"/>
        </w:rPr>
        <w:instrText xml:space="preserve"> TOC \o "1-3" \h \z \u </w:instrText>
      </w:r>
      <w:r>
        <w:rPr>
          <w:szCs w:val="28"/>
        </w:rPr>
        <w:fldChar w:fldCharType="separate"/>
      </w:r>
      <w:r>
        <w:rPr>
          <w:highlight w:val="none"/>
          <w14:ligatures w14:val="none"/>
        </w:rPr>
      </w:r>
      <w:hyperlink w:tooltip="#_Toc1" w:anchor="_Toc1" w:history="1">
        <w:r>
          <w:rPr>
            <w:rStyle w:val="895"/>
          </w:rPr>
        </w:r>
        <w:r>
          <w:rPr>
            <w:rStyle w:val="895"/>
            <w:highlight w:val="none"/>
          </w:rPr>
          <w:t xml:space="preserve">1. Общая информация об основных характеристиках бюджета за 2025 год, структуре муниципального долга и объемах муниципальных заимствований в 2025 году</w:t>
        </w:r>
        <w:r>
          <w:rPr>
            <w:rStyle w:val="895"/>
            <w:highlight w:val="none"/>
            <w14:ligatures w14:val="none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4</w:t>
          <w:fldChar w:fldCharType="end"/>
        </w:r>
      </w:hyperlink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02"/>
        <w:tabs>
          <w:tab w:val="right" w:pos="9628" w:leader="dot"/>
        </w:tabs>
        <w:rPr>
          <w:rStyle w:val="945"/>
          <w:i w:val="0"/>
          <w:iCs w:val="0"/>
          <w:highlight w:val="none"/>
        </w:rPr>
      </w:pPr>
      <w:r/>
      <w:hyperlink w:tooltip="#_Toc2" w:anchor="_Toc2" w:history="1">
        <w:r>
          <w:rPr>
            <w:rStyle w:val="895"/>
          </w:rPr>
        </w:r>
        <w:r>
          <w:rPr>
            <w:rStyle w:val="895"/>
            <w:i w:val="0"/>
            <w:iCs w:val="0"/>
            <w:highlight w:val="none"/>
          </w:rPr>
          <w:t xml:space="preserve">2. Информация об исполнении доходной части бюджета</w:t>
        </w:r>
        <w:r>
          <w:rPr>
            <w:rStyle w:val="895"/>
            <w:i w:val="0"/>
            <w:iCs w:val="0"/>
            <w:highlight w:val="none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5</w:t>
          <w:fldChar w:fldCharType="end"/>
        </w:r>
      </w:hyperlink>
      <w:r>
        <w:rPr>
          <w:rStyle w:val="945"/>
          <w:i w:val="0"/>
          <w:iCs w:val="0"/>
          <w:highlight w:val="none"/>
        </w:rPr>
      </w:r>
      <w:r>
        <w:rPr>
          <w:rStyle w:val="945"/>
          <w:i w:val="0"/>
          <w:iCs w:val="0"/>
          <w:highlight w:val="none"/>
        </w:rPr>
      </w:r>
    </w:p>
    <w:p>
      <w:pPr>
        <w:pStyle w:val="902"/>
        <w:tabs>
          <w:tab w:val="right" w:pos="9628" w:leader="dot"/>
        </w:tabs>
        <w:rPr>
          <w:rStyle w:val="945"/>
          <w:i w:val="0"/>
          <w:iCs w:val="0"/>
          <w:highlight w:val="none"/>
        </w:rPr>
      </w:pPr>
      <w:r/>
      <w:hyperlink w:tooltip="#_Toc3" w:anchor="_Toc3" w:history="1">
        <w:r>
          <w:rPr>
            <w:rStyle w:val="895"/>
          </w:rPr>
        </w:r>
        <w:r>
          <w:rPr>
            <w:rStyle w:val="895"/>
            <w:i w:val="0"/>
            <w:iCs w:val="0"/>
            <w:highlight w:val="none"/>
          </w:rPr>
          <w:t xml:space="preserve">3. Информация об исполнении расходной части бюджета</w:t>
        </w:r>
        <w:r>
          <w:rPr>
            <w:rStyle w:val="895"/>
            <w:i w:val="0"/>
            <w:iCs w:val="0"/>
            <w:highlight w:val="none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26</w:t>
          <w:fldChar w:fldCharType="end"/>
        </w:r>
      </w:hyperlink>
      <w:r>
        <w:rPr>
          <w:rStyle w:val="945"/>
          <w:i w:val="0"/>
          <w:iCs w:val="0"/>
          <w:highlight w:val="none"/>
        </w:rPr>
      </w:r>
      <w:r>
        <w:rPr>
          <w:rStyle w:val="945"/>
          <w:i w:val="0"/>
          <w:iCs w:val="0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highlight w:val="none"/>
        </w:rPr>
      </w:pPr>
      <w:r/>
      <w:hyperlink w:tooltip="#_Toc4" w:anchor="_Toc4" w:history="1">
        <w:r>
          <w:rPr>
            <w:rStyle w:val="895"/>
          </w:rPr>
        </w:r>
        <w:r>
          <w:rPr>
            <w:rStyle w:val="895"/>
            <w:rFonts w:ascii="Times New Roman" w:hAnsi="Times New Roman"/>
            <w:highlight w:val="none"/>
          </w:rPr>
          <w:t xml:space="preserve">3.1. Ведомственная структура расходов бюджета Владивостокского городского округа за 2025 год</w:t>
        </w:r>
        <w:r>
          <w:rPr>
            <w:rStyle w:val="895"/>
            <w:rFonts w:ascii="Times New Roman" w:hAnsi="Times New Roman"/>
            <w:highlight w:val="none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27</w:t>
          <w:fldChar w:fldCharType="end"/>
        </w:r>
      </w:hyperlink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highlight w:val="none"/>
        </w:rPr>
      </w:pPr>
      <w:r/>
      <w:hyperlink w:tooltip="#_Toc5" w:anchor="_Toc5" w:history="1">
        <w:r>
          <w:rPr>
            <w:rStyle w:val="895"/>
          </w:rPr>
        </w:r>
        <w:r>
          <w:rPr>
            <w:rStyle w:val="895"/>
            <w:rFonts w:ascii="Times New Roman" w:hAnsi="Times New Roman"/>
            <w:highlight w:val="none"/>
          </w:rPr>
          <w:t xml:space="preserve">3.2. Функциональная структура расходов бюджета Владивостокского городского округа за 2025 год: распределение бюджетных ассигнований по разделам, подразделам в соответствии с бюджетной классификацией</w:t>
        </w:r>
        <w:r>
          <w:rPr>
            <w:rStyle w:val="895"/>
            <w:rFonts w:ascii="Times New Roman" w:hAnsi="Times New Roman"/>
            <w:highlight w:val="none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29</w:t>
          <w:fldChar w:fldCharType="end"/>
        </w:r>
      </w:hyperlink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highlight w:val="none"/>
        </w:rPr>
      </w:pPr>
      <w:r/>
      <w:hyperlink w:tooltip="#_Toc6" w:anchor="_Toc6" w:history="1">
        <w:r>
          <w:rPr>
            <w:rStyle w:val="895"/>
          </w:rPr>
        </w:r>
        <w:r>
          <w:rPr>
            <w:rStyle w:val="895"/>
            <w:rFonts w:ascii="Times New Roman" w:hAnsi="Times New Roman"/>
            <w:highlight w:val="none"/>
          </w:rPr>
          <w:t xml:space="preserve">3.3. Структура расходов бюджета Владивостокского городского округа по видам расходов в 2025 году</w:t>
        </w:r>
        <w:r>
          <w:rPr>
            <w:rStyle w:val="895"/>
            <w:rFonts w:ascii="Times New Roman" w:hAnsi="Times New Roman"/>
            <w:highlight w:val="none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31</w:t>
          <w:fldChar w:fldCharType="end"/>
        </w:r>
      </w:hyperlink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highlight w:val="none"/>
        </w:rPr>
      </w:pPr>
      <w:r/>
      <w:hyperlink w:tooltip="#_Toc7" w:anchor="_Toc7" w:history="1">
        <w:r>
          <w:rPr>
            <w:rStyle w:val="895"/>
          </w:rPr>
        </w:r>
        <w:r>
          <w:rPr>
            <w:rStyle w:val="895"/>
            <w:rFonts w:ascii="Times New Roman" w:hAnsi="Times New Roman"/>
            <w:highlight w:val="none"/>
          </w:rPr>
          <w:t xml:space="preserve">3.4. Информация о расходах на исполнение судебных актов по искам к Владивостокскому городскому округу</w:t>
        </w:r>
        <w:r>
          <w:rPr>
            <w:rStyle w:val="895"/>
            <w:rFonts w:ascii="Times New Roman" w:hAnsi="Times New Roman"/>
            <w:highlight w:val="none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36</w:t>
          <w:fldChar w:fldCharType="end"/>
        </w:r>
      </w:hyperlink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highlight w:val="none"/>
        </w:rPr>
      </w:pPr>
      <w:r/>
      <w:hyperlink w:tooltip="#_Toc8" w:anchor="_Toc8" w:history="1">
        <w:r>
          <w:rPr>
            <w:rStyle w:val="895"/>
          </w:rPr>
        </w:r>
        <w:r>
          <w:rPr>
            <w:rStyle w:val="895"/>
            <w:rFonts w:ascii="Times New Roman" w:hAnsi="Times New Roman"/>
            <w:highlight w:val="none"/>
          </w:rPr>
          <w:t xml:space="preserve">3.5. Программная и непрограммная части расходов бюджета Владивостокского городского округа на 2025 год</w:t>
        </w:r>
        <w:r>
          <w:rPr>
            <w:rStyle w:val="895"/>
            <w:rFonts w:ascii="Times New Roman" w:hAnsi="Times New Roman"/>
            <w:highlight w:val="none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37</w:t>
          <w:fldChar w:fldCharType="end"/>
        </w:r>
      </w:hyperlink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02"/>
        <w:tabs>
          <w:tab w:val="right" w:pos="9628" w:leader="dot"/>
        </w:tabs>
        <w:rPr>
          <w:rStyle w:val="945"/>
          <w:i w:val="0"/>
          <w:iCs w:val="0"/>
          <w:strike w:val="0"/>
          <w:highlight w:val="none"/>
        </w:rPr>
      </w:pPr>
      <w:r/>
      <w:hyperlink w:tooltip="#_Toc9" w:anchor="_Toc9" w:history="1">
        <w:r>
          <w:rPr>
            <w:rStyle w:val="895"/>
          </w:rPr>
        </w:r>
        <w:r>
          <w:rPr>
            <w:rStyle w:val="895"/>
            <w:i w:val="0"/>
            <w:iCs w:val="0"/>
            <w:strike w:val="0"/>
            <w:highlight w:val="none"/>
          </w:rPr>
          <w:t xml:space="preserve">4. Расходная часть бюджета Владивостокского городского округа за 2025 год в разрезе муниципальных программ и непрограммных направлений</w:t>
        </w:r>
        <w:r>
          <w:rPr>
            <w:rStyle w:val="895"/>
            <w:i w:val="0"/>
            <w:iCs w:val="0"/>
            <w:strike w:val="0"/>
            <w:highlight w:val="none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39</w:t>
          <w:fldChar w:fldCharType="end"/>
        </w:r>
      </w:hyperlink>
      <w:r>
        <w:rPr>
          <w:rStyle w:val="945"/>
          <w:i w:val="0"/>
          <w:iCs w:val="0"/>
          <w:strike w:val="0"/>
          <w:highlight w:val="none"/>
        </w:rPr>
      </w:r>
      <w:r>
        <w:rPr>
          <w:rStyle w:val="945"/>
          <w:i w:val="0"/>
          <w:iCs w:val="0"/>
          <w:strike w:val="0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strike w:val="0"/>
          <w:highlight w:val="none"/>
        </w:rPr>
      </w:pPr>
      <w:r/>
      <w:hyperlink w:tooltip="#_Toc10" w:anchor="_Toc10" w:history="1">
        <w:r>
          <w:rPr>
            <w:rStyle w:val="895"/>
          </w:rPr>
        </w:r>
        <w:r>
          <w:rPr>
            <w:rStyle w:val="895"/>
            <w:rFonts w:ascii="Times New Roman" w:hAnsi="Times New Roman"/>
            <w:strike w:val="0"/>
            <w:highlight w:val="none"/>
          </w:rPr>
          <w:t xml:space="preserve">4.1. Расходы в рамках муниципальных программ</w:t>
        </w:r>
        <w:r>
          <w:rPr>
            <w:rStyle w:val="895"/>
            <w:rFonts w:ascii="Times New Roman" w:hAnsi="Times New Roman"/>
            <w:strike w:val="0"/>
            <w:highlight w:val="none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39</w:t>
          <w:fldChar w:fldCharType="end"/>
        </w:r>
      </w:hyperlink>
      <w:r>
        <w:rPr>
          <w:rFonts w:ascii="Times New Roman" w:hAnsi="Times New Roman"/>
          <w:strike w:val="0"/>
          <w:highlight w:val="none"/>
        </w:rPr>
      </w:r>
      <w:r>
        <w:rPr>
          <w:rFonts w:ascii="Times New Roman" w:hAnsi="Times New Roman"/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11" w:anchor="_Toc11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4.1.1. </w:t>
        </w:r>
        <w:r>
          <w:rPr>
            <w:rStyle w:val="895"/>
            <w:strike w:val="0"/>
            <w:highlight w:val="none"/>
          </w:rPr>
          <w:t xml:space="preserve">Муниципальная программа «Спортивный Владивосток»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39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12" w:anchor="_Toc12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4.1.2. </w:t>
        </w:r>
        <w:r>
          <w:rPr>
            <w:rStyle w:val="895"/>
            <w:strike w:val="0"/>
            <w:highlight w:val="none"/>
          </w:rPr>
          <w:t xml:space="preserve">Муниципальная программа «Общественный транспорт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41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13" w:anchor="_Toc13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4.1.3. </w:t>
        </w:r>
        <w:r>
          <w:rPr>
            <w:rStyle w:val="895"/>
            <w:strike w:val="0"/>
            <w:highlight w:val="none"/>
          </w:rPr>
          <w:t xml:space="preserve">Муниципальная программа «Дороги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44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white"/>
        </w:rPr>
      </w:pPr>
      <w:r/>
      <w:hyperlink w:tooltip="#_Toc14" w:anchor="_Toc14" w:history="1">
        <w:r>
          <w:rPr>
            <w:rStyle w:val="895"/>
          </w:rPr>
        </w:r>
        <w:r>
          <w:rPr>
            <w:rStyle w:val="895"/>
            <w:strike w:val="0"/>
            <w:highlight w:val="white"/>
          </w:rPr>
          <w:t xml:space="preserve">4.1.4. </w:t>
        </w:r>
        <w:r>
          <w:rPr>
            <w:rStyle w:val="895"/>
            <w:strike w:val="0"/>
            <w:highlight w:val="white"/>
          </w:rPr>
          <w:t xml:space="preserve">Муниципальная программа «Образование и молодежь Владивостока»</w:t>
        </w:r>
        <w:r>
          <w:rPr>
            <w:rStyle w:val="895"/>
            <w:strike w:val="0"/>
            <w:highlight w:val="white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51</w:t>
          <w:fldChar w:fldCharType="end"/>
        </w:r>
      </w:hyperlink>
      <w:r>
        <w:rPr>
          <w:strike w:val="0"/>
          <w:highlight w:val="white"/>
        </w:rPr>
      </w:r>
      <w:r>
        <w:rPr>
          <w:strike w:val="0"/>
          <w:highlight w:val="white"/>
        </w:rPr>
      </w:r>
    </w:p>
    <w:p>
      <w:pPr>
        <w:pStyle w:val="904"/>
        <w:tabs>
          <w:tab w:val="right" w:pos="9628" w:leader="dot"/>
        </w:tabs>
        <w:rPr>
          <w:rFonts w:eastAsia="Calibri"/>
          <w:strike w:val="0"/>
          <w:highlight w:val="none"/>
        </w:rPr>
      </w:pPr>
      <w:r/>
      <w:hyperlink w:tooltip="#_Toc15" w:anchor="_Toc15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4.1.5. </w:t>
        </w:r>
        <w:r>
          <w:rPr>
            <w:rStyle w:val="895"/>
            <w:strike w:val="0"/>
            <w:highlight w:val="none"/>
          </w:rPr>
          <w:t xml:space="preserve">Муниципальная программа «Экономика и финансы города Владивостока»</w:t>
        </w:r>
        <w:r>
          <w:rPr>
            <w:rStyle w:val="895"/>
            <w:rFonts w:eastAsia="Calibri"/>
            <w:strike w:val="0"/>
            <w:highlight w:val="none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58</w:t>
          <w:fldChar w:fldCharType="end"/>
        </w:r>
      </w:hyperlink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16" w:anchor="_Toc16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4.1.6. </w:t>
        </w:r>
        <w:r>
          <w:rPr>
            <w:rStyle w:val="895"/>
            <w:strike w:val="0"/>
            <w:highlight w:val="none"/>
          </w:rPr>
          <w:t xml:space="preserve">Муниципальная программа «Архитектура и строительство»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62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rFonts w:eastAsia="Calibri"/>
          <w:strike w:val="0"/>
          <w:highlight w:val="none"/>
        </w:rPr>
      </w:pPr>
      <w:r/>
      <w:hyperlink w:tooltip="#_Toc17" w:anchor="_Toc17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4.1.7. </w:t>
        </w:r>
        <w:r>
          <w:rPr>
            <w:rStyle w:val="895"/>
            <w:strike w:val="0"/>
            <w:highlight w:val="none"/>
          </w:rPr>
          <w:t xml:space="preserve">Муниципальная программа «Культура Владивостока</w:t>
        </w:r>
        <w:r>
          <w:rPr>
            <w:rStyle w:val="895"/>
            <w:rFonts w:eastAsia="Calibri"/>
            <w:strike w:val="0"/>
            <w:highlight w:val="none"/>
          </w:rPr>
          <w:t xml:space="preserve">»</w:t>
        </w:r>
        <w:r>
          <w:rPr>
            <w:rStyle w:val="895"/>
            <w:rFonts w:eastAsia="Calibri"/>
            <w:strike w:val="0"/>
            <w:highlight w:val="none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65</w:t>
          <w:fldChar w:fldCharType="end"/>
        </w:r>
      </w:hyperlink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18" w:anchor="_Toc18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4.1.8. </w:t>
        </w:r>
        <w:r>
          <w:rPr>
            <w:rStyle w:val="895"/>
            <w:strike w:val="0"/>
            <w:highlight w:val="none"/>
          </w:rPr>
          <w:t xml:space="preserve">Муниципальная программа «Поддержка общественных инициатив»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68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rFonts w:eastAsia="Calibri"/>
          <w:strike w:val="0"/>
          <w:highlight w:val="none"/>
        </w:rPr>
      </w:pPr>
      <w:r/>
      <w:hyperlink w:tooltip="#_Toc19" w:anchor="_Toc19" w:history="1">
        <w:r>
          <w:rPr>
            <w:rStyle w:val="895"/>
          </w:rPr>
        </w:r>
        <w:r>
          <w:rPr>
            <w:rStyle w:val="895"/>
            <w:rFonts w:eastAsia="Calibri"/>
            <w:strike w:val="0"/>
            <w:highlight w:val="none"/>
          </w:rPr>
          <w:t xml:space="preserve">4.1.9. Муниципальная программа «Здоровый Владивосток»</w:t>
        </w:r>
        <w:r>
          <w:rPr>
            <w:rStyle w:val="895"/>
            <w:rFonts w:eastAsia="Calibri"/>
            <w:strike w:val="0"/>
            <w:highlight w:val="none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71</w:t>
          <w:fldChar w:fldCharType="end"/>
        </w:r>
      </w:hyperlink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rFonts w:eastAsia="Calibri"/>
          <w:strike w:val="0"/>
          <w:highlight w:val="none"/>
        </w:rPr>
      </w:pPr>
      <w:r/>
      <w:hyperlink w:tooltip="#_Toc20" w:anchor="_Toc20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4.1.10. </w:t>
        </w:r>
        <w:r>
          <w:rPr>
            <w:rStyle w:val="895"/>
            <w:strike w:val="0"/>
            <w:highlight w:val="none"/>
          </w:rPr>
          <w:t xml:space="preserve">Муниципальная программа «Противодействие коррупции</w:t>
        </w:r>
        <w:r>
          <w:rPr>
            <w:rStyle w:val="895"/>
            <w:rFonts w:eastAsia="Calibri"/>
            <w:strike w:val="0"/>
            <w:highlight w:val="none"/>
          </w:rPr>
          <w:t xml:space="preserve">»</w:t>
        </w:r>
        <w:r>
          <w:rPr>
            <w:rStyle w:val="895"/>
            <w:rFonts w:eastAsia="Calibri"/>
            <w:strike w:val="0"/>
            <w:highlight w:val="none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72</w:t>
          <w:fldChar w:fldCharType="end"/>
        </w:r>
      </w:hyperlink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21" w:anchor="_Toc21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4.1.11. </w:t>
        </w:r>
        <w:r>
          <w:rPr>
            <w:rStyle w:val="895"/>
            <w:strike w:val="0"/>
            <w:highlight w:val="none"/>
          </w:rPr>
          <w:t xml:space="preserve">Муниципальная программа «Жилье и городская среда»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73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22" w:anchor="_Toc22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4.1.12. </w:t>
        </w:r>
        <w:r>
          <w:rPr>
            <w:rStyle w:val="895"/>
            <w:strike w:val="0"/>
            <w:highlight w:val="none"/>
          </w:rPr>
          <w:t xml:space="preserve">Муниципальная программа «Энергосбережение и повышение энергетической эффективности»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84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3"/>
        <w:tabs>
          <w:tab w:val="right" w:pos="9628" w:leader="dot"/>
        </w:tabs>
        <w:rPr>
          <w:rFonts w:ascii="Times New Roman" w:hAnsi="Times New Roman"/>
          <w:strike w:val="0"/>
          <w:highlight w:val="none"/>
        </w:rPr>
      </w:pPr>
      <w:r/>
      <w:hyperlink w:tooltip="#_Toc23" w:anchor="_Toc23" w:history="1">
        <w:r>
          <w:rPr>
            <w:rStyle w:val="895"/>
          </w:rPr>
        </w:r>
        <w:r>
          <w:rPr>
            <w:rStyle w:val="895"/>
            <w:rFonts w:ascii="Times New Roman" w:hAnsi="Times New Roman"/>
            <w:strike w:val="0"/>
            <w:highlight w:val="none"/>
          </w:rPr>
          <w:t xml:space="preserve">4.2. Непрограммные расходы бюджета Владивосток</w:t>
        </w:r>
        <w:r>
          <w:rPr>
            <w:rStyle w:val="895"/>
            <w:rFonts w:ascii="Times New Roman" w:hAnsi="Times New Roman"/>
            <w:strike w:val="0"/>
            <w:highlight w:val="none"/>
          </w:rPr>
          <w:t xml:space="preserve">ского городского округа</w:t>
        </w:r>
        <w:r>
          <w:rPr>
            <w:rStyle w:val="895"/>
            <w:rFonts w:ascii="Times New Roman" w:hAnsi="Times New Roman"/>
            <w:strike w:val="0"/>
            <w:highlight w:val="none"/>
          </w:rPr>
          <w:t xml:space="preserve"> </w:t>
        </w:r>
        <w:r>
          <w:rPr>
            <w:rStyle w:val="895"/>
            <w:rFonts w:ascii="Times New Roman" w:hAnsi="Times New Roman"/>
            <w:strike w:val="0"/>
            <w:highlight w:val="none"/>
          </w:rPr>
          <w:t xml:space="preserve"> </w:t>
        </w:r>
        <w:r>
          <w:rPr>
            <w:rStyle w:val="895"/>
            <w:rFonts w:ascii="Times New Roman" w:hAnsi="Times New Roman"/>
            <w:strike w:val="0"/>
            <w:highlight w:val="none"/>
          </w:rPr>
          <w:t xml:space="preserve">в разрезе главных распорядителей бюджетных средств</w:t>
        </w:r>
        <w:r>
          <w:rPr>
            <w:rStyle w:val="895"/>
            <w:rFonts w:ascii="Times New Roman" w:hAnsi="Times New Roman"/>
            <w:strike w:val="0"/>
            <w:highlight w:val="none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87</w:t>
          <w:fldChar w:fldCharType="end"/>
        </w:r>
      </w:hyperlink>
      <w:r>
        <w:rPr>
          <w:rFonts w:ascii="Times New Roman" w:hAnsi="Times New Roman"/>
          <w:strike w:val="0"/>
          <w:highlight w:val="none"/>
        </w:rPr>
      </w:r>
      <w:r>
        <w:rPr>
          <w:rFonts w:ascii="Times New Roman" w:hAnsi="Times New Roman"/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24" w:anchor="_Toc24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4.2.1. ГРБС «Дума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87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left" w:pos="91" w:leader="none"/>
          <w:tab w:val="right" w:pos="9628" w:leader="dot"/>
        </w:tabs>
        <w:rPr>
          <w:strike w:val="0"/>
          <w:highlight w:val="none"/>
        </w:rPr>
      </w:pPr>
      <w:r/>
      <w:hyperlink w:tooltip="#_Toc25" w:anchor="_Toc25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4.2.2. ГРБС «Контрольно-счетная палата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88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26" w:anchor="_Toc26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4.2.3 ГРБС «Администрация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88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27" w:anchor="_Toc27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4.2.4. ГРБС «Управление опеки и попечительства </w:t>
        </w:r>
        <w:r>
          <w:rPr>
            <w:rStyle w:val="895"/>
            <w:strike w:val="0"/>
            <w:highlight w:val="none"/>
          </w:rPr>
          <w:t xml:space="preserve"> </w:t>
        </w:r>
        <w:r>
          <w:rPr>
            <w:rStyle w:val="895"/>
            <w:strike w:val="0"/>
            <w:highlight w:val="none"/>
          </w:rPr>
          <w:t xml:space="preserve">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91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28" w:anchor="_Toc28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4.2.5. ГРБС «Административно-территориальное управление островных территорий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91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rFonts w:ascii="Times New Roman" w:hAnsi="Times New Roman" w:cs="Times New Roman"/>
        </w:rPr>
        <w:suppressLineNumbers w:val="0"/>
      </w:pPr>
      <w:r/>
      <w:hyperlink w:tooltip="#_Toc29" w:anchor="_Toc29" w:history="1">
        <w:r>
          <w:rPr>
            <w:rStyle w:val="895"/>
          </w:rPr>
        </w:r>
        <w:r>
          <w:rPr>
            <w:rStyle w:val="895"/>
            <w:rFonts w:ascii="Times New Roman" w:hAnsi="Times New Roman" w:eastAsia="Times New Roman" w:cs="Times New Roman"/>
          </w:rPr>
          <w:t xml:space="preserve">4.2.</w:t>
        </w:r>
        <w:r>
          <w:rPr>
            <w:rStyle w:val="895"/>
            <w:rFonts w:ascii="Times New Roman" w:hAnsi="Times New Roman" w:eastAsia="Times New Roman" w:cs="Times New Roman"/>
          </w:rPr>
          <w:t xml:space="preserve">6</w:t>
        </w:r>
        <w:r>
          <w:rPr>
            <w:rStyle w:val="895"/>
            <w:rFonts w:ascii="Times New Roman" w:hAnsi="Times New Roman" w:eastAsia="Times New Roman" w:cs="Times New Roman"/>
          </w:rPr>
          <w:t xml:space="preserve">. </w:t>
        </w:r>
        <w:r>
          <w:rPr>
            <w:rStyle w:val="895"/>
            <w:rFonts w:ascii="Times New Roman" w:hAnsi="Times New Roman" w:eastAsia="Times New Roman" w:cs="Times New Roman"/>
          </w:rPr>
          <w:t xml:space="preserve">ГРБ</w:t>
        </w:r>
        <w:r>
          <w:rPr>
            <w:rStyle w:val="895"/>
            <w:rFonts w:ascii="Times New Roman" w:hAnsi="Times New Roman" w:eastAsia="Times New Roman" w:cs="Times New Roman"/>
          </w:rPr>
          <w:t xml:space="preserve">С «Административно-территориальное управление поселка Трудовое а</w:t>
        </w:r>
        <w:r>
          <w:rPr>
            <w:rStyle w:val="895"/>
            <w:rFonts w:ascii="Times New Roman" w:hAnsi="Times New Roman" w:eastAsia="Times New Roman" w:cs="Times New Roman"/>
          </w:rPr>
          <w:t xml:space="preserve">дминистрации города Владивостока»</w:t>
        </w:r>
        <w:r>
          <w:rPr>
            <w:rStyle w:val="895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92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0" w:anchor="_Toc30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4.2.7. </w:t>
        </w:r>
        <w:r>
          <w:rPr>
            <w:rStyle w:val="895"/>
            <w:strike w:val="0"/>
            <w:highlight w:val="none"/>
          </w:rPr>
          <w:t xml:space="preserve">ГРБС «Управление общественной безопасности и взаимодействия с органами власти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92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1" w:anchor="_Toc31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4.2.8</w:t>
        </w:r>
        <w:r>
          <w:rPr>
            <w:rStyle w:val="895"/>
            <w:strike w:val="0"/>
            <w:highlight w:val="none"/>
          </w:rPr>
          <w:t xml:space="preserve">. ГРБС «Управление финансов администрации</w:t>
        </w:r>
        <w:r>
          <w:rPr>
            <w:rStyle w:val="895"/>
            <w:strike w:val="0"/>
            <w:highlight w:val="none"/>
          </w:rPr>
          <w:t xml:space="preserve"> </w:t>
        </w:r>
        <w:r>
          <w:rPr>
            <w:rStyle w:val="895"/>
            <w:strike w:val="0"/>
            <w:highlight w:val="none"/>
          </w:rPr>
          <w:t xml:space="preserve">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93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2" w:anchor="_Toc32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</w:t>
        </w:r>
        <w:r>
          <w:rPr>
            <w:rStyle w:val="895"/>
            <w:strike w:val="0"/>
            <w:highlight w:val="none"/>
          </w:rPr>
          <w:t xml:space="preserve">9</w:t>
        </w:r>
        <w:r>
          <w:rPr>
            <w:rStyle w:val="895"/>
            <w:strike w:val="0"/>
            <w:highlight w:val="none"/>
          </w:rPr>
          <w:t xml:space="preserve">. ГРБС «Управление дорог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94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3" w:anchor="_Toc33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4.2.10</w:t>
        </w:r>
        <w:r>
          <w:rPr>
            <w:rStyle w:val="895"/>
            <w:strike w:val="0"/>
            <w:highlight w:val="none"/>
          </w:rPr>
          <w:t xml:space="preserve">. ГРБС «Управление содержания жилищного фонда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95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4" w:anchor="_Toc34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4.2.11</w:t>
        </w:r>
        <w:r>
          <w:rPr>
            <w:rStyle w:val="895"/>
            <w:strike w:val="0"/>
            <w:highlight w:val="none"/>
          </w:rPr>
          <w:t xml:space="preserve">. ГРБС «Управление транспорта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97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5" w:anchor="_Toc35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4.2.12</w:t>
        </w:r>
        <w:r>
          <w:rPr>
            <w:rStyle w:val="895"/>
            <w:strike w:val="0"/>
            <w:highlight w:val="none"/>
          </w:rPr>
          <w:t xml:space="preserve">. ГРБС «Управление городской среды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98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6" w:anchor="_Toc36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4.2.13</w:t>
        </w:r>
        <w:r>
          <w:rPr>
            <w:rStyle w:val="895"/>
            <w:strike w:val="0"/>
            <w:highlight w:val="none"/>
          </w:rPr>
          <w:t xml:space="preserve">. ГРБС «</w:t>
        </w:r>
        <w:r>
          <w:rPr>
            <w:rStyle w:val="895"/>
          </w:rPr>
          <w:t xml:space="preserve">Управление архитектуры и строительства объектов Владивостокского городского округа администрации города Владивостока</w:t>
        </w:r>
        <w:r>
          <w:rPr>
            <w:rStyle w:val="895"/>
          </w:rPr>
          <w:t xml:space="preserve">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99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04"/>
        <w:tabs>
          <w:tab w:val="right" w:pos="9628" w:leader="dot"/>
        </w:tabs>
        <w:rPr>
          <w:strike w:val="0"/>
          <w:highlight w:val="none"/>
        </w:rPr>
      </w:pPr>
      <w:r/>
      <w:hyperlink w:tooltip="#_Toc37" w:anchor="_Toc37" w:history="1">
        <w:r>
          <w:rPr>
            <w:rStyle w:val="895"/>
          </w:rPr>
        </w:r>
        <w:r>
          <w:rPr>
            <w:rStyle w:val="895"/>
            <w:strike w:val="0"/>
            <w:highlight w:val="none"/>
          </w:rPr>
          <w:t xml:space="preserve">4.2.14 ГРБС «Управление по работе с муниципальными учреждениями образования администрации города Владивостока»</w:t>
        </w:r>
        <w:r>
          <w:rPr>
            <w:rStyle w:val="895"/>
            <w:strike w:val="0"/>
            <w:highlight w:val="none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100</w:t>
          <w:fldChar w:fldCharType="end"/>
        </w:r>
      </w:hyperlink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2"/>
        <w:ind w:firstLine="0"/>
        <w:spacing w:after="240" w:line="240" w:lineRule="auto"/>
        <w:rPr>
          <w:highlight w:val="none"/>
          <w14:ligatures w14:val="none"/>
        </w:rPr>
      </w:pPr>
      <w:r>
        <w:rPr>
          <w:szCs w:val="28"/>
        </w:rPr>
      </w:r>
      <w:r>
        <w:rPr>
          <w:rStyle w:val="945"/>
          <w:bCs w:val="0"/>
          <w:i w:val="0"/>
          <w:highlight w:val="none"/>
        </w:rPr>
      </w:r>
      <w:bookmarkStart w:id="2" w:name="_Toc1"/>
      <w:r>
        <w:rPr>
          <w:szCs w:val="28"/>
        </w:rPr>
        <w:fldChar w:fldCharType="end"/>
      </w:r>
      <w:r>
        <w:rPr>
          <w:highlight w:val="none"/>
        </w:rPr>
        <w:t xml:space="preserve">1. Общая информация об основных характеристиках бюджета за 2025 год, структуре муниципального долга и объемах муниципальных заимствований в 2025 году</w:t>
      </w:r>
      <w:r>
        <w:rPr>
          <w:highlight w:val="none"/>
          <w14:ligatures w14:val="none"/>
        </w:rPr>
      </w:r>
      <w:bookmarkEnd w:id="2"/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rPr>
          <w:rStyle w:val="945"/>
          <w:i w:val="0"/>
          <w:szCs w:val="28"/>
          <w:highlight w:val="none"/>
        </w:rPr>
      </w:pPr>
      <w:r>
        <w:rPr>
          <w:i w:val="0"/>
          <w:szCs w:val="28"/>
          <w:highlight w:val="none"/>
        </w:rPr>
      </w:r>
      <w:r>
        <w:rPr>
          <w:rStyle w:val="945"/>
          <w:i w:val="0"/>
          <w:szCs w:val="28"/>
          <w:highlight w:val="none"/>
        </w:rPr>
      </w:r>
      <w:r>
        <w:rPr>
          <w:rStyle w:val="945"/>
          <w:i w:val="0"/>
          <w:szCs w:val="28"/>
          <w:highlight w:val="none"/>
        </w:rPr>
      </w:r>
    </w:p>
    <w:p>
      <w:pPr>
        <w:pStyle w:val="921"/>
        <w:jc w:val="both"/>
        <w:spacing w:after="0"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Общая информация об основных характеристиках бюджета представлена в следующей таблице: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21"/>
        <w:jc w:val="right"/>
        <w:spacing w:after="0"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тыс. рублей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836" w:type="dxa"/>
        <w:tblLayout w:type="fixed"/>
        <w:tblLook w:val="04A0" w:firstRow="1" w:lastRow="0" w:firstColumn="1" w:lastColumn="0" w:noHBand="0" w:noVBand="1"/>
      </w:tblPr>
      <w:tblGrid>
        <w:gridCol w:w="3510"/>
        <w:gridCol w:w="1544"/>
        <w:gridCol w:w="2282"/>
        <w:gridCol w:w="1507"/>
        <w:gridCol w:w="993"/>
      </w:tblGrid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Показатель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vMerge w:val="restart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Утверждено в бюджете ВГО на 2025 год 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vMerge w:val="restart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Доходы, планируемые к получению фактически / расходы согласно сводной бюджетной росписи 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00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Исполнено в 2025 году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8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vMerge w:val="continue"/>
            <w:textDirection w:val="lrTb"/>
            <w:noWrap w:val="false"/>
          </w:tcPr>
          <w:p>
            <w:pPr>
              <w:ind w:left="-20" w:right="-69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vMerge w:val="continue"/>
            <w:textDirection w:val="lrTb"/>
            <w:noWrap w:val="false"/>
          </w:tcPr>
          <w:p>
            <w:pPr>
              <w:ind w:left="-20" w:right="-69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тыс. рублей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% </w:t>
            </w:r>
            <w:r>
              <w:rPr>
                <w:sz w:val="23"/>
                <w:szCs w:val="23"/>
                <w:highlight w:val="none"/>
              </w:rPr>
              <w:t xml:space="preserve">выпол</w:t>
            </w:r>
            <w:r>
              <w:rPr>
                <w:sz w:val="23"/>
                <w:szCs w:val="23"/>
                <w:highlight w:val="none"/>
                <w:lang w:val="en-US"/>
              </w:rPr>
              <w:t xml:space="preserve">-</w:t>
            </w:r>
            <w:r>
              <w:rPr>
                <w:sz w:val="23"/>
                <w:szCs w:val="23"/>
                <w:highlight w:val="none"/>
              </w:rPr>
              <w:t xml:space="preserve">нения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5=4/2*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 Доходы всего, в том числе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35 326 424,42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35 440 298,88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34 806 159,02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98,53%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1.1. Налоговые и неналоговые доходы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16 220 517,00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16 220 517,00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16 771 306,24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103,40%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28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1.2. Безвозмездные поступления всего, в том числе: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19 105 901,42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19 219 781,88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18 034 852,77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94,39%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безвозмездные поступления от бюджетов бюджетной системы РФ (межбюджетные трансферты)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19 105 907,42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19 219 781,884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18 181 227,37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95,16%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Доходы от возврата организациями остатков субсидий прошлых лет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  <w14:ligatures w14:val="none"/>
              </w:rPr>
            </w:pPr>
            <w:r>
              <w:rPr>
                <w:sz w:val="23"/>
                <w:szCs w:val="23"/>
                <w:highlight w:val="none"/>
                <w:lang w:val="ru-RU"/>
              </w:rPr>
              <w:t xml:space="preserve">-</w:t>
            </w:r>
            <w:r>
              <w:rPr>
                <w:sz w:val="23"/>
                <w:szCs w:val="23"/>
                <w:highlight w:val="none"/>
                <w:lang w:val="ru-RU"/>
              </w:rPr>
              <w:t xml:space="preserve"> </w:t>
            </w:r>
            <w:r>
              <w:rPr>
                <w:sz w:val="23"/>
                <w:szCs w:val="23"/>
                <w:highlight w:val="none"/>
                <w:lang w:val="ru-RU"/>
              </w:rPr>
              <w:t xml:space="preserve">146 374,59</w:t>
            </w:r>
            <w:r>
              <w:rPr>
                <w:sz w:val="23"/>
                <w:szCs w:val="23"/>
                <w:highlight w:val="none"/>
                <w14:ligatures w14:val="none"/>
              </w:rPr>
            </w:r>
            <w:r>
              <w:rPr>
                <w:sz w:val="23"/>
                <w:szCs w:val="23"/>
                <w:highlight w:val="none"/>
                <w14:ligatures w14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  <w14:ligatures w14:val="none"/>
              </w:rPr>
            </w:pPr>
            <w:r>
              <w:rPr>
                <w:sz w:val="23"/>
                <w:szCs w:val="23"/>
                <w:highlight w:val="none"/>
              </w:rPr>
              <w:t xml:space="preserve">Х</w:t>
            </w:r>
            <w:r>
              <w:rPr>
                <w:sz w:val="23"/>
                <w:szCs w:val="23"/>
                <w:highlight w:val="none"/>
                <w14:ligatures w14:val="none"/>
              </w:rPr>
            </w:r>
            <w:r>
              <w:rPr>
                <w:sz w:val="23"/>
                <w:szCs w:val="23"/>
                <w:highlight w:val="none"/>
                <w14:ligatures w14:val="none"/>
              </w:rPr>
            </w:r>
          </w:p>
        </w:tc>
      </w:tr>
      <w:tr>
        <w:tblPrEx/>
        <w:trPr>
          <w:trHeight w:val="197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5=4/3*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2. Расходы всего, в том числе: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36 363 474,56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36 477 349,01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34 925 685,99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96,05%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2.1. Расходы за счет налоговых и неналоговых доходов и дотации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18 629 979,07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18 630 369,67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18 117 663,19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98,03%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2.2. Расходы за счет межбюджетных трансфертов (без дотации)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17 733 495,48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17 846 979,34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16 808 022,81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93,96%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Дефицит</w:t>
            </w:r>
            <w:r>
              <w:rPr>
                <w:sz w:val="23"/>
                <w:szCs w:val="23"/>
                <w:highlight w:val="none"/>
              </w:rPr>
              <w:t xml:space="preserve"> (-), </w:t>
            </w:r>
            <w:r>
              <w:rPr>
                <w:sz w:val="23"/>
                <w:szCs w:val="23"/>
                <w:highlight w:val="none"/>
              </w:rPr>
              <w:t xml:space="preserve">профицит (+)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-1 037 050,13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-1 037 050,13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  <w:lang w:val="ru-RU"/>
              </w:rPr>
              <w:t xml:space="preserve">- 119 526,97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hanging="2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Муниципальный долг по состоянию на 31.12.2024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1 374 985,00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1 374 985,00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Муниципальный долг по состоянию на 31.12.2025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977 585,00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977 585,00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Х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Расходы на обслуживание муниципального долга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44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1 502,22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82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1 502,22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07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1 370,15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20" w:right="-69" w:firstLine="0"/>
              <w:jc w:val="center"/>
              <w:spacing w:line="240" w:lineRule="auto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91,21%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ind w:left="0" w:right="0" w:firstLine="0"/>
        <w:spacing w:line="240" w:lineRule="auto"/>
        <w:rPr>
          <w:sz w:val="21"/>
          <w:szCs w:val="21"/>
          <w:highlight w:val="none"/>
        </w:rPr>
      </w:pPr>
      <w:r>
        <w:rPr>
          <w:sz w:val="21"/>
          <w:szCs w:val="21"/>
          <w:highlight w:val="none"/>
        </w:rPr>
        <w:t xml:space="preserve">*Согласно п. 54 Приказа Минфина России от 28.12.2010 № 191н «Об утверждении </w:t>
      </w:r>
      <w:hyperlink w:tooltip="#P45" w:anchor="P45" w:history="1">
        <w:r>
          <w:rPr>
            <w:sz w:val="21"/>
            <w:szCs w:val="21"/>
            <w:highlight w:val="none"/>
          </w:rPr>
          <w:t xml:space="preserve">Инструкции</w:t>
        </w:r>
      </w:hyperlink>
      <w:r>
        <w:rPr>
          <w:sz w:val="21"/>
          <w:szCs w:val="21"/>
          <w:highlight w:val="none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Федерации» показатель</w:t>
      </w:r>
      <w:r>
        <w:rPr>
          <w:sz w:val="21"/>
          <w:szCs w:val="21"/>
          <w:highlight w:val="none"/>
        </w:rPr>
        <w:t xml:space="preserve"> по исполнению по доходам рассчитывается в структуре утвержденных плановых (прогнозных) показателей по доходам и источникам финансирования дефицита бюджета, а показатель по расходам в структуре утвержденных сводной бюджетной росписью бюджетных ассигнований</w:t>
      </w:r>
      <w:r>
        <w:rPr>
          <w:sz w:val="21"/>
          <w:szCs w:val="21"/>
          <w:highlight w:val="none"/>
        </w:rPr>
        <w:t xml:space="preserve"> и (или) лимитов бюджетных обязательств по расходам бюджета и выплатам источников финансирования дефицита бюджета. </w:t>
      </w:r>
      <w:r>
        <w:rPr>
          <w:sz w:val="21"/>
          <w:szCs w:val="21"/>
          <w:highlight w:val="none"/>
        </w:rPr>
      </w:r>
      <w:r>
        <w:rPr>
          <w:sz w:val="21"/>
          <w:szCs w:val="21"/>
          <w:highlight w:val="none"/>
        </w:rPr>
      </w:r>
    </w:p>
    <w:p>
      <w:pPr>
        <w:contextualSpacing/>
        <w:rPr>
          <w:szCs w:val="28"/>
          <w:highlight w:val="none"/>
        </w:rPr>
      </w:pPr>
      <w:r>
        <w:rPr>
          <w:szCs w:val="28"/>
          <w:highlight w:val="none"/>
        </w:rPr>
        <w:t xml:space="preserve">По состоянию на 01.01.2025 долговыми обязательствами Владивостокского городского округа</w:t>
      </w:r>
      <w:r>
        <w:rPr>
          <w:rStyle w:val="945"/>
          <w:i w:val="0"/>
          <w:iCs w:val="0"/>
          <w:szCs w:val="28"/>
          <w:highlight w:val="none"/>
        </w:rPr>
        <w:t xml:space="preserve"> (далее - ВГО) </w:t>
      </w:r>
      <w:r>
        <w:rPr>
          <w:szCs w:val="28"/>
          <w:highlight w:val="none"/>
        </w:rPr>
        <w:t xml:space="preserve">являлись </w:t>
      </w:r>
      <w:r>
        <w:rPr>
          <w:szCs w:val="28"/>
          <w:highlight w:val="none"/>
        </w:rPr>
        <w:t xml:space="preserve">бюджетные кредиты из бюджета Приморского края в размере </w:t>
      </w:r>
      <w:r>
        <w:rPr>
          <w:szCs w:val="28"/>
          <w:highlight w:val="none"/>
        </w:rPr>
        <w:t xml:space="preserve"> 1 374 985,00 тыс. рублей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rPr>
          <w:szCs w:val="28"/>
          <w:highlight w:val="none"/>
        </w:rPr>
      </w:pPr>
      <w:r>
        <w:rPr>
          <w:szCs w:val="28"/>
          <w:highlight w:val="none"/>
        </w:rPr>
        <w:t xml:space="preserve">В 2025 году сумма гашения бюджетных кредитов, полученных из бюджета Приморского края, составила 397 400,00 тыс. рублей.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ind w:firstLine="708"/>
        <w:rPr>
          <w:highlight w:val="none"/>
        </w:rPr>
      </w:pPr>
      <w:r>
        <w:rPr>
          <w:szCs w:val="28"/>
          <w:highlight w:val="none"/>
        </w:rPr>
        <w:t xml:space="preserve">Долговые обязательства Владивостокского городского округа по состоянию на 31.12.2025 составили 977 585,00 тыс. рублей.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rPr>
          <w:highlight w:val="none"/>
        </w:rPr>
      </w:pPr>
      <w:r>
        <w:rPr>
          <w:szCs w:val="28"/>
          <w:highlight w:val="none"/>
        </w:rPr>
        <w:t xml:space="preserve">Уточненный план по</w:t>
      </w:r>
      <w:r>
        <w:rPr>
          <w:szCs w:val="28"/>
          <w:highlight w:val="none"/>
        </w:rPr>
        <w:t xml:space="preserve"> расходам на обслуживание муниципального долга составил 1 502,22</w:t>
      </w:r>
      <w:r>
        <w:rPr>
          <w:color w:val="000000"/>
          <w:sz w:val="23"/>
          <w:szCs w:val="23"/>
          <w:highlight w:val="none"/>
        </w:rPr>
        <w:t xml:space="preserve"> </w:t>
      </w:r>
      <w:r>
        <w:rPr>
          <w:szCs w:val="28"/>
          <w:highlight w:val="none"/>
        </w:rPr>
        <w:t xml:space="preserve">тыс. рублей, исполнение 1 370,15</w:t>
      </w:r>
      <w:r>
        <w:rPr>
          <w:color w:val="000000"/>
          <w:sz w:val="23"/>
          <w:szCs w:val="23"/>
          <w:highlight w:val="none"/>
        </w:rPr>
        <w:t xml:space="preserve"> </w:t>
      </w:r>
      <w:r>
        <w:rPr>
          <w:szCs w:val="28"/>
          <w:highlight w:val="none"/>
        </w:rPr>
        <w:t xml:space="preserve">тыс. рублей (91,21%).</w:t>
      </w:r>
      <w:r>
        <w:rPr>
          <w:highlight w:val="none"/>
        </w:rPr>
      </w:r>
      <w:r>
        <w:rPr>
          <w:highlight w:val="none"/>
        </w:rPr>
      </w:r>
    </w:p>
    <w:p>
      <w:pPr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732"/>
        <w:ind w:firstLine="0"/>
        <w:rPr>
          <w:rStyle w:val="945"/>
          <w:i w:val="0"/>
          <w:iCs w:val="0"/>
          <w:szCs w:val="28"/>
          <w:highlight w:val="none"/>
        </w:rPr>
      </w:pPr>
      <w:r/>
      <w:bookmarkStart w:id="3" w:name="_Toc2"/>
      <w:r>
        <w:rPr>
          <w:rStyle w:val="945"/>
          <w:i w:val="0"/>
          <w:iCs w:val="0"/>
          <w:szCs w:val="28"/>
          <w:highlight w:val="none"/>
        </w:rPr>
        <w:t xml:space="preserve">2. Информация об исполнении доходной части бюджета</w:t>
      </w:r>
      <w:r>
        <w:rPr>
          <w:rStyle w:val="945"/>
          <w:i w:val="0"/>
          <w:iCs w:val="0"/>
          <w:szCs w:val="28"/>
          <w:highlight w:val="none"/>
        </w:rPr>
      </w:r>
      <w:bookmarkEnd w:id="3"/>
      <w:r>
        <w:rPr>
          <w:rStyle w:val="945"/>
          <w:i w:val="0"/>
          <w:iCs w:val="0"/>
          <w:szCs w:val="28"/>
          <w:highlight w:val="none"/>
        </w:rPr>
      </w:r>
      <w:r>
        <w:rPr>
          <w:rStyle w:val="945"/>
          <w:i w:val="0"/>
          <w:iCs w:val="0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r>
        <w:rPr>
          <w:rStyle w:val="945"/>
          <w:i w:val="0"/>
          <w:iCs w:val="0"/>
          <w:szCs w:val="28"/>
        </w:rPr>
        <w:t xml:space="preserve">Бюджет ВГО за 2025 год по доходам исполнен в сумме  </w:t>
        <w:br/>
        <w:t xml:space="preserve">34 806 159,02 тыс. рублей или 98,5% к плановым назначениям. Невыполнение плана в основном сложилось за счет поступления не в полном объеме от утвержденного план</w:t>
      </w:r>
      <w:r>
        <w:rPr>
          <w:rStyle w:val="945"/>
          <w:i w:val="0"/>
          <w:iCs w:val="0"/>
          <w:szCs w:val="28"/>
        </w:rPr>
        <w:t xml:space="preserve">а безвозмездных поступлений от других бюджетов бюджетной системы Российской Федерации. По сравнению с отчетом 2024 года темп роста по доходам составил 113,0%.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по налоговым и неналоговым доходам выполнен на 103,4%, поступило 16 771 306,24 тыс. рублей, рост к 2024 году 120,2%.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Доля налоговых поступлений в бюджете </w:t>
      </w:r>
      <w:r>
        <w:rPr>
          <w:rStyle w:val="945"/>
          <w:i w:val="0"/>
          <w:iCs w:val="0"/>
          <w:szCs w:val="28"/>
        </w:rPr>
        <w:t xml:space="preserve">ВГО</w:t>
      </w:r>
      <w:r>
        <w:rPr>
          <w:rStyle w:val="945"/>
          <w:i w:val="0"/>
          <w:iCs w:val="0"/>
          <w:szCs w:val="28"/>
        </w:rPr>
        <w:t xml:space="preserve"> составила 40,1%. План выполнен на 103,1%, поступило 13 965 113,18 тыс. рублей, темп роста к 2024 году составил 118,9%.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В составе налоговых доходов налог на доходы физических лиц и земельный налог занимают наибольший удельный вес.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Налог на доходы физических лиц (далее – НДФЛ) составил 71,3% в налоговых поступлениях, фактически поступило 9 954 135,68 тыс. рублей.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лан года выполнен на 100,7%,  темп роста к уровню 2024 года составил 113,0 %, в сопоставимых нормативах 116,3%, рост объясняется более высоким уровнем темпа роста заработной платы за 2025 год к уровню 2024 года по крупным и средним организациям на 113,7% (</w:t>
      </w:r>
      <w:r>
        <w:rPr>
          <w:rStyle w:val="945"/>
          <w:i w:val="0"/>
          <w:iCs w:val="0"/>
          <w:szCs w:val="28"/>
        </w:rPr>
        <w:t xml:space="preserve">з</w:t>
      </w:r>
      <w:r>
        <w:rPr>
          <w:rStyle w:val="945"/>
          <w:i w:val="0"/>
          <w:iCs w:val="0"/>
          <w:szCs w:val="28"/>
        </w:rPr>
        <w:t xml:space="preserve">а 11 месяцев 2025 года) по сравнению с тем, который был заложен в прогнозе социально-экономического развития ВГО – 104,5 %, и, соответственно, увеличением отчислений по НДФЛ в местный бюджет. А также в связи с поступлением разового платежа от одного крупно</w:t>
      </w:r>
      <w:r>
        <w:rPr>
          <w:rStyle w:val="945"/>
          <w:i w:val="0"/>
          <w:iCs w:val="0"/>
          <w:szCs w:val="28"/>
        </w:rPr>
        <w:t xml:space="preserve">го налогоплательщика – участника САР.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Администрацией города Владивостока на регулярной основе проводилась работа по пополнению доходной части бюджета в 2025 году в рамках принятого Плана мероприятий по увеличению доходной части бюджета ВГО.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За 2025 год при главе города Владивостока, при административно-территориальных управлениях по районам города Владивостока проведено </w:t>
        <w:br/>
        <w:t xml:space="preserve">214 заседания МВК по налоговой и социальной политике. Рассмотрено </w:t>
        <w:br/>
        <w:t xml:space="preserve">1884 предприятия, в том числе 33 предприятия по вопроса</w:t>
      </w:r>
      <w:r>
        <w:rPr>
          <w:rStyle w:val="945"/>
          <w:i w:val="0"/>
          <w:iCs w:val="0"/>
          <w:szCs w:val="28"/>
        </w:rPr>
        <w:t xml:space="preserve">м задолженности по заработной плате, низкого уровня оплаты труда, её  легализации.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В  результате  работы комиссии сумма погашенной задолженности по налоговым платежам в бюджетную систему РФ, внебюджетные фонды составила 1 736 849 тыс. руб., в том числе в бюджет города 222 444,8 тыс.руб.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Дополнительно  получено за 2025 год 694 835,8 тыс.руб. дохода в бюджет ВГО в результате выполнения Плана мероприятий по увеличению доходной части бюджета ВГО на период с 2023 по 2025 годы.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Средняя заработная плата по крупным и средним организациям за период январь-ноябрь 2025 год выросла на 13,7 % к уровню 2024 года и составила</w:t>
        <w:br/>
        <w:t xml:space="preserve">125 065,00  рублей.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</w:t>
      </w:r>
      <w:r>
        <w:rPr>
          <w:rStyle w:val="945"/>
          <w:i w:val="0"/>
          <w:iCs w:val="0"/>
          <w:szCs w:val="28"/>
        </w:rPr>
        <w:t xml:space="preserve">ходы по акцизам на автомобильный бензин, прямогонный бензин, дизельное топливо, моторные масла для дизельных и (или) карбюраторных (инжекторных) двигателей (далее – акцизы) поступили в сумме </w:t>
        <w:br/>
        <w:t xml:space="preserve">79 011,21 тыс. рублей, выполнение плана 2025 года составило 98,2</w:t>
      </w:r>
      <w:r>
        <w:rPr>
          <w:rStyle w:val="945"/>
          <w:i w:val="0"/>
          <w:iCs w:val="0"/>
          <w:szCs w:val="28"/>
        </w:rPr>
        <w:t xml:space="preserve">%</w:t>
      </w:r>
      <w:r>
        <w:rPr>
          <w:rStyle w:val="945"/>
          <w:i w:val="0"/>
          <w:iCs w:val="0"/>
          <w:szCs w:val="28"/>
        </w:rPr>
        <w:t xml:space="preserve">. Невыполнение плана обусловлено снижением с 1 февраля 2025 года норматива зачисления акцизов в бюджеты субъектов Российской Федерации с 74,9% до 68,5% (федеральный закон от 28.11.2018 № 456-ФЗ в редакции федерального закона 29.10.2024 № ФЗ-367-ФЗ). Темп р</w:t>
      </w:r>
      <w:r>
        <w:rPr>
          <w:rStyle w:val="945"/>
          <w:i w:val="0"/>
          <w:iCs w:val="0"/>
          <w:szCs w:val="28"/>
        </w:rPr>
        <w:t xml:space="preserve">о</w:t>
      </w:r>
      <w:r>
        <w:rPr>
          <w:rStyle w:val="945"/>
          <w:i w:val="0"/>
          <w:iCs w:val="0"/>
          <w:szCs w:val="28"/>
        </w:rPr>
        <w:t xml:space="preserve">ста к 2024 году составил 106,2%, что на 4 585,42 тыс. рублей больше, чем в 2024 году. Рост доходов к уровню прошло года произошел за счет роста налоговых ставок с 1 января 2025 года на автомобильный бензин, прямогонный бензин, на дизельное топливо, на мото</w:t>
      </w:r>
      <w:r>
        <w:rPr>
          <w:rStyle w:val="945"/>
          <w:i w:val="0"/>
          <w:iCs w:val="0"/>
          <w:szCs w:val="28"/>
        </w:rPr>
        <w:t xml:space="preserve">р</w:t>
      </w:r>
      <w:r>
        <w:rPr>
          <w:rStyle w:val="945"/>
          <w:i w:val="0"/>
          <w:iCs w:val="0"/>
          <w:szCs w:val="28"/>
        </w:rPr>
        <w:t xml:space="preserve">ные масла для дизельных и (или) карбюраторных (инжекторных) двигателей (Федеральный закон от 12.07.2024 № 176-ФЗ в редакции Федерального закона от 29.10.2024 № 362-ФЗ) и повышения норматива распределения доходов от акцизов в краевой бюджет с 1,7386% в 2024</w:t>
      </w:r>
      <w:r>
        <w:rPr>
          <w:rStyle w:val="945"/>
          <w:i w:val="0"/>
          <w:iCs w:val="0"/>
          <w:szCs w:val="28"/>
        </w:rPr>
        <w:t xml:space="preserve"> году до 1,7914% в 2025 году (федеральный закон от 30.11.2024 № 419-ФЗ) и, соответственно, повышения суммы отчислений в местный бюджет.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С 01 января 2025 года на территории ВГО установлен туристический налог  (муниципальный правовой акт города Владивостока от 05.11.2024 </w:t>
        <w:br/>
        <w:t xml:space="preserve">№ 135-МПА «О туристическом налоге на территории Владивостокского городского округа»). Поступления за 2025 год со</w:t>
      </w:r>
      <w:r>
        <w:rPr>
          <w:rStyle w:val="945"/>
          <w:i w:val="0"/>
          <w:iCs w:val="0"/>
          <w:szCs w:val="28"/>
        </w:rPr>
        <w:t xml:space="preserve">ставили 56 406, 14 тыс. рублей, выполнение плана составило 74,5%. Невыполнение планового показателя на сумму 19 313, 86 тыс. рублей в основном обусловлено тем, что туристический налог не исчисляется в период раннего бронирования мест проживания в средст</w:t>
      </w:r>
      <w:r>
        <w:rPr>
          <w:rStyle w:val="945"/>
          <w:i w:val="0"/>
          <w:iCs w:val="0"/>
          <w:szCs w:val="28"/>
        </w:rPr>
        <w:t xml:space="preserve">вах размещения при условии полного расчета с лицом, приобретающим данную услугу до 01 июля текущего года.</w:t>
      </w:r>
      <w:r>
        <w:rPr>
          <w:rStyle w:val="945"/>
          <w:i w:val="0"/>
          <w:iCs w:val="0"/>
          <w:szCs w:val="28"/>
        </w:rPr>
      </w:r>
      <w:r/>
    </w:p>
    <w:p>
      <w:pPr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Style w:val="945"/>
          <w:i w:val="0"/>
          <w:iCs w:val="0"/>
          <w:szCs w:val="28"/>
        </w:rPr>
        <w:t xml:space="preserve">В</w:t>
      </w:r>
      <w:r>
        <w:rPr>
          <w:rFonts w:ascii="Times New Roman" w:hAnsi="Times New Roman"/>
          <w:sz w:val="28"/>
          <w:szCs w:val="28"/>
          <w:highlight w:val="white"/>
        </w:rPr>
        <w:t xml:space="preserve"> соответствии с Законом Приморского края от 02.04.2019 № 473-КЗ</w:t>
        <w:br/>
        <w:t xml:space="preserve">с 01.01.2021 установлен единый норматив отчислений в бюджеты муниципальных районов и городских округов Приморского края от нало</w:t>
      </w:r>
      <w:r>
        <w:rPr>
          <w:rFonts w:ascii="Times New Roman" w:hAnsi="Times New Roman"/>
          <w:sz w:val="28"/>
          <w:szCs w:val="28"/>
          <w:highlight w:val="white"/>
        </w:rPr>
        <w:t xml:space="preserve">га, взимаемого в связи с применением упрощенной системы налогообложения (далее - УСН), подлежащего зачислению в краевой бюджет, в размере 2%. </w:t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r>
        <w:rPr>
          <w:rStyle w:val="945"/>
          <w:i w:val="0"/>
          <w:iCs w:val="0"/>
          <w:szCs w:val="28"/>
        </w:rPr>
        <w:t xml:space="preserve">По налогу, взимаемому в связи с применением УСН, поступления составили 254 190,86 тыс. рублей. План выполнен на 99,6%. Темп роста поступлений к уровню 2024 года составил 100,0%.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Единый налог на вмененный доход (далее - ЕНВД)  с 01.01.2021 отменен.  В 2025 году поступления по ЕНВД в бюджет </w:t>
      </w:r>
      <w:r>
        <w:rPr>
          <w:rStyle w:val="945"/>
          <w:i w:val="0"/>
          <w:iCs w:val="0"/>
          <w:szCs w:val="28"/>
        </w:rPr>
        <w:t xml:space="preserve">ВГО</w:t>
      </w:r>
      <w:r>
        <w:rPr>
          <w:rStyle w:val="945"/>
          <w:i w:val="0"/>
          <w:iCs w:val="0"/>
          <w:szCs w:val="28"/>
        </w:rPr>
        <w:t xml:space="preserve"> составили </w:t>
        <w:br/>
        <w:t xml:space="preserve">262,21 тыс. рублей и направлены в счет погашения задолженности  за предыдущие налоговые периоды.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о единому сельскохозяйственному налогу (далее – ЕСХН) план выполнен на 100,7%, поступило 234 004,81 тыс. рублей. Темп роста к 2024 году составил 78,4%. Снижение поступлений по ЕСХН по рыбодобывающим организациям обусловлено уменьшением количества полученны</w:t>
      </w:r>
      <w:r>
        <w:rPr>
          <w:rStyle w:val="945"/>
          <w:i w:val="0"/>
          <w:iCs w:val="0"/>
          <w:szCs w:val="28"/>
        </w:rPr>
        <w:t xml:space="preserve">х квот на добычу (вылов) водных биологических ресурсов в 2024 году и переходом одного крупного налогоплательщика с ЕСХН на общий режим налогообложения.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оходы от применения патентной системы налогообложения (далее -  ПСН) составили 684 909,13 тыс. рублей. План выполнен на 109,2%. Рост поступлений связан с увеличением количества налогоплательщиков, применяющих патентную систему налогообложения, и количества</w:t>
      </w:r>
      <w:r>
        <w:rPr>
          <w:rStyle w:val="945"/>
          <w:i w:val="0"/>
          <w:iCs w:val="0"/>
          <w:szCs w:val="28"/>
        </w:rPr>
        <w:t xml:space="preserve"> выданных патентов на осуществление предпринимательской деятельности.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Т</w:t>
      </w:r>
      <w:r>
        <w:rPr>
          <w:rStyle w:val="945"/>
          <w:i w:val="0"/>
          <w:iCs w:val="0"/>
          <w:szCs w:val="28"/>
        </w:rPr>
        <w:t xml:space="preserve">емп роста поступлений по ПСН к уровню 2024 года составил 175,4% и обусловлен внесением изменений в пункт 2 статьи 346.51 Налогового кодекса Российской Федерации «если срок окончания действия патента приходится на 31 декабря, уплата налога производится не п</w:t>
      </w:r>
      <w:r>
        <w:rPr>
          <w:rStyle w:val="945"/>
          <w:i w:val="0"/>
          <w:iCs w:val="0"/>
          <w:szCs w:val="28"/>
        </w:rPr>
        <w:t xml:space="preserve">озд</w:t>
      </w:r>
      <w:r>
        <w:rPr>
          <w:rStyle w:val="945"/>
          <w:i w:val="0"/>
          <w:iCs w:val="0"/>
          <w:szCs w:val="28"/>
        </w:rPr>
        <w:t xml:space="preserve">нее 28 декабря </w:t>
        <w:br/>
        <w:t xml:space="preserve">(в ред. Федерального закона от 08.08.2024 № 259-ФЗ)» (срок уплаты был 09.01.2026). В связи с чем поступления ПСН за 2025 год включают в себя платежи за два периода - за 2024 год (по сроку 09.01.2025) и 2025 год </w:t>
        <w:br/>
        <w:t xml:space="preserve">(не позднее 28 декабря 2025 </w:t>
      </w:r>
      <w:r>
        <w:rPr>
          <w:rStyle w:val="945"/>
          <w:i w:val="0"/>
          <w:iCs w:val="0"/>
          <w:szCs w:val="28"/>
        </w:rPr>
        <w:t xml:space="preserve">года).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Нал</w:t>
      </w:r>
      <w:r>
        <w:rPr>
          <w:rStyle w:val="945"/>
          <w:i w:val="0"/>
          <w:iCs w:val="0"/>
          <w:szCs w:val="28"/>
        </w:rPr>
        <w:t xml:space="preserve">ог на имущество физических лиц поступил в сумме </w:t>
        <w:br/>
        <w:t xml:space="preserve">967 126,44 тыс. рублей, план выполнен на 121,9%, темп роста к уровню </w:t>
        <w:br/>
        <w:t xml:space="preserve">2024 года составил 144,2%. Рост поступлений по налогу в основном обусловлен увеличением налоговой базы по объектам налогообложения, включ</w:t>
      </w:r>
      <w:r>
        <w:rPr>
          <w:rStyle w:val="945"/>
          <w:i w:val="0"/>
          <w:iCs w:val="0"/>
          <w:szCs w:val="28"/>
        </w:rPr>
        <w:t xml:space="preserve">е</w:t>
      </w:r>
      <w:r>
        <w:rPr>
          <w:rStyle w:val="945"/>
          <w:i w:val="0"/>
          <w:iCs w:val="0"/>
          <w:szCs w:val="28"/>
        </w:rPr>
        <w:t xml:space="preserve">нным в перечень, определяемый в соответствии с пунктом 7 статьи 378.2 Налогового кодекса Российской Федерации, по результатам проведенной в 2023 году кадастровой оценки объектов недвижимого имущества (зданий, помещений, сооружений, объектов незавершенного </w:t>
      </w:r>
      <w:r>
        <w:rPr>
          <w:rStyle w:val="945"/>
          <w:i w:val="0"/>
          <w:iCs w:val="0"/>
          <w:szCs w:val="28"/>
        </w:rPr>
        <w:t xml:space="preserve">строительства, машино-мест) в соответствии с распоряжением министерства имущественных и земельных отношений Приморского края от 01.06.2022 № 408-ри «О проведении государственной кадастровой оценки на территории Приморского края в 2023 году».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оходы по земельному налогу составили 1 218 978, 00 тыс. рублей,  выполнение плана составило 107,7%, темп роста к уровню 2024 года 125,9%. Рост поступлений по налогу в основном обусловлен тем, что в 2025 году Федеральной налоговой службой произведен расчет </w:t>
      </w:r>
      <w:r>
        <w:rPr>
          <w:rStyle w:val="945"/>
          <w:i w:val="0"/>
          <w:iCs w:val="0"/>
          <w:szCs w:val="28"/>
        </w:rPr>
        <w:t xml:space="preserve">з</w:t>
      </w:r>
      <w:r>
        <w:rPr>
          <w:rStyle w:val="945"/>
          <w:i w:val="0"/>
          <w:iCs w:val="0"/>
          <w:szCs w:val="28"/>
        </w:rPr>
        <w:t xml:space="preserve">емельного налога за налоговый период 2024 год без применения норм Федерального закона от 26.03.2022 № 67-ФЗ, согласно которому в случае увеличения кадастровой стоимости земельного участка по результатам кадастровой оценки 2022 года применяется кадастровая </w:t>
      </w:r>
      <w:r>
        <w:rPr>
          <w:rStyle w:val="945"/>
          <w:i w:val="0"/>
          <w:iCs w:val="0"/>
          <w:szCs w:val="28"/>
        </w:rPr>
        <w:t xml:space="preserve">с</w:t>
      </w:r>
      <w:r>
        <w:rPr>
          <w:rStyle w:val="945"/>
          <w:i w:val="0"/>
          <w:iCs w:val="0"/>
          <w:szCs w:val="28"/>
        </w:rPr>
        <w:t xml:space="preserve">тоимость по предыдущей кадастровой оценке (действие моратория применялось для расчета налоговой базы за 2023 год, к налоговой базе на 2024 год – не применяется), в результате чего у налогоплательщиков, производивших уплату авансовых платежей с применением </w:t>
      </w:r>
      <w:r>
        <w:rPr>
          <w:rStyle w:val="945"/>
          <w:i w:val="0"/>
          <w:iCs w:val="0"/>
          <w:szCs w:val="28"/>
        </w:rPr>
        <w:t xml:space="preserve">н</w:t>
      </w:r>
      <w:r>
        <w:rPr>
          <w:rStyle w:val="945"/>
          <w:i w:val="0"/>
          <w:iCs w:val="0"/>
          <w:szCs w:val="28"/>
        </w:rPr>
        <w:t xml:space="preserve">орм Федерального закона № 67-ФЗ, образовалась задолженность по земельному налогу за 2024 год, которая была погашена в 2025 году за счет переплаты по ЕНС налогоплательщика, а так же постановкой на учет новых земельных участков, принадлежащих на праве собств</w:t>
      </w:r>
      <w:r>
        <w:rPr>
          <w:rStyle w:val="945"/>
          <w:i w:val="0"/>
          <w:iCs w:val="0"/>
          <w:szCs w:val="28"/>
        </w:rPr>
        <w:t xml:space="preserve">енности физическим лицам.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от поступлений государственной пошлины составили                 516 087,53 тыс.  рублей, план выполнен на 109,7 %, в том числе: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государственная пошлина по делам, рассматриваемым в судах общей юрисдикции, мировыми судьями поступила в сумме 515 042,53 тыс. рублей, выполнение плана 109,7%, темп роста составил 186,4%. Рост поступлений связан с увеличением размера уплаты госпошлины по </w:t>
      </w:r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елам, рассматриваемым в судах общей юрисдикции, мировыми судьями в связи со вступлением в силу с 09.09.2024  изменений, предусмотренных Федеральным законом от 08.08.2024 № 259-ФЗ «О внесении изменений в части первую и вторую Налогового кодекса Российской Ф</w:t>
      </w:r>
      <w:r>
        <w:rPr>
          <w:rStyle w:val="945"/>
          <w:i w:val="0"/>
          <w:iCs w:val="0"/>
          <w:szCs w:val="28"/>
        </w:rPr>
        <w:t xml:space="preserve">едерации и отдельные законодательные акты Российской Федерации о налогах и сборах»;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план по государственной пошлине за выдачу разрешений на установку рекламных конструкций выполнен на 95,0%, поступило 1 045,00 тыс. рублей (выдано 209 разрешений) при плане 1 100,00 тыс. рублей (план - 220 разрешений). К уровню прошлого года темп роста сос</w:t>
      </w:r>
      <w:r>
        <w:rPr>
          <w:rStyle w:val="945"/>
          <w:i w:val="0"/>
          <w:iCs w:val="0"/>
          <w:szCs w:val="28"/>
        </w:rPr>
        <w:t xml:space="preserve">т</w:t>
      </w:r>
      <w:r>
        <w:rPr>
          <w:rStyle w:val="945"/>
          <w:i w:val="0"/>
          <w:iCs w:val="0"/>
          <w:szCs w:val="28"/>
        </w:rPr>
        <w:t xml:space="preserve">авил 23,5%, что обусловлено уменьшением количества обращений заявителей за оказанием муниципальной услуги «Выдача разрешений на установку и эксплуатацию рекламных конструкций на территории ВГО, аннулирование таких разрешений». Ввиду того, что указанная усл</w:t>
      </w:r>
      <w:r>
        <w:rPr>
          <w:rStyle w:val="945"/>
          <w:i w:val="0"/>
          <w:iCs w:val="0"/>
          <w:szCs w:val="28"/>
        </w:rPr>
        <w:t xml:space="preserve">уга носит заявительный характер, предусмотреть точное количество обращений не представляется возможным.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К</w:t>
      </w:r>
      <w:r>
        <w:rPr>
          <w:rStyle w:val="945"/>
          <w:i w:val="0"/>
          <w:iCs w:val="0"/>
          <w:szCs w:val="28"/>
        </w:rPr>
        <w:t xml:space="preserve">роме того, уточнена задолженность по отмененным налогам, сборам и иным обязательным платежам на сумму 1,16 тыс. рублей, в том числе, по земельному налогу  (по обязательствам возникшим до 01.01.2006) на сумму 1,16 тыс. рублей и целевым сборам на содержание </w:t>
      </w:r>
      <w:r>
        <w:rPr>
          <w:rStyle w:val="945"/>
          <w:i w:val="0"/>
          <w:iCs w:val="0"/>
          <w:szCs w:val="28"/>
        </w:rPr>
        <w:t xml:space="preserve">милиции, на благоустройство и другие цели возврат на 0,001 тыс. рублей. Задолженность по отмененным налогам, сборам и иным обязательным платежам не планировалась.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по неналоговым доходам выполнен на 105,1%, поступило </w:t>
        <w:br/>
        <w:t xml:space="preserve">2 806 193,06 тыс. рублей, к уровню прошлого года темп роста составляет 127,3%. Доля неналоговых доходов в общей сумме доходов составила 8,1%.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Основную долю в неналоговых доходах занимают доходы от использования имущества, находящегося в государственной и муниципальной собственности 41,1%. План по данной группе доходов выполнен на 96,5 %, темп роста 101,3%, поступило 1 153 930,81 тыс. рублей.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от использования имущества, находящегося в государственной и муниципальной собственности, включают в себя: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доходы, получаемые в виде арендной платы за земельные участки;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от сдачи в аренду имущества, составляющего казну городских округов (за исключением земельных участков);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плату по соглашениям об установлении сервитутов в отношении земельных участков, находящихся в государственной и муниципальной собственности;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плату за публичный сервитут, предусмотренную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платежи от государственных и муниципальных унитарных предприятий;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</w:t>
      </w:r>
      <w:r>
        <w:rPr>
          <w:rStyle w:val="945"/>
          <w:i w:val="0"/>
          <w:iCs w:val="0"/>
          <w:szCs w:val="28"/>
        </w:rPr>
        <w:t xml:space="preserve">зенных).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оступления по доходам в виде прибыли, приходящейся на доли в уставных (складочных) капиталах хозяйственных товариществ и обществ, или дивидендов по акциям составили 385,44 тыс. рублей, план выполнен на 100,1%. Дивиденты сложились по результатам деятельност</w:t>
      </w:r>
      <w:r>
        <w:rPr>
          <w:rStyle w:val="945"/>
          <w:i w:val="0"/>
          <w:iCs w:val="0"/>
          <w:szCs w:val="28"/>
        </w:rPr>
        <w:t xml:space="preserve">и АО «РКЦ» за 4 квартал 2024 года.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Общая сумма поступлений по арендной плате за землю составила </w:t>
        <w:br/>
        <w:t xml:space="preserve">809 621,04 тыс. рублей, план выполнен на 99,3%, темп роста к уровню 2024 года составил 101,3%.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По арендной плате за земельные участки, государственная собственность на которые не разграничена, поступило 723 117,45 тыс. рублей. План выполнен на 100,9%, темп роста доходов к уровню 2024 года составил 102,9%.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о арендной плате за земельные участки после разграничения государственной собственности на землю и находящиеся в собственности городских округов поступило 86 448,04 тыс. рублей. План выполнен на 87,8%. Невыполнение планового показателя обусловлено возврато</w:t>
      </w:r>
      <w:r>
        <w:rPr>
          <w:rStyle w:val="945"/>
          <w:i w:val="0"/>
          <w:iCs w:val="0"/>
          <w:szCs w:val="28"/>
        </w:rPr>
        <w:t xml:space="preserve">м </w:t>
      </w:r>
      <w:r>
        <w:rPr>
          <w:rStyle w:val="945"/>
          <w:i w:val="0"/>
          <w:iCs w:val="0"/>
          <w:szCs w:val="28"/>
        </w:rPr>
        <w:t xml:space="preserve">из бюджета переплаты по арендной плате, возникшей в связи с ее перерасчетом в сторону уменьшения по решениям судебных органов и  досрочным расторжением </w:t>
        <w:br/>
        <w:t xml:space="preserve">19 договоров аренды, в т.ч. в связи с выкупом муниципальных земельных участков. Темп роста доходов к ур</w:t>
      </w:r>
      <w:r>
        <w:rPr>
          <w:rStyle w:val="945"/>
          <w:i w:val="0"/>
          <w:iCs w:val="0"/>
          <w:szCs w:val="28"/>
        </w:rPr>
        <w:t xml:space="preserve">овню 2024 года составил 89,7%, что обусловлено снижением количества арендуемых участков и перерасчетом размера арендной платы в сторону уменьшения.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лан по доходам от сдачи в аренду имущества, находящегося в оперативном управлении органов управления городских округов и созданных ими учреждений выполнен на 94,1%, при плане 1 417,00 тыс. рублей поступило 1 333,60 тыс. рублей. Темп роста к 2024 году соста</w:t>
      </w:r>
      <w:r>
        <w:rPr>
          <w:rStyle w:val="945"/>
          <w:i w:val="0"/>
          <w:iCs w:val="0"/>
          <w:szCs w:val="28"/>
        </w:rPr>
        <w:t xml:space="preserve">в</w:t>
      </w:r>
      <w:r>
        <w:rPr>
          <w:rStyle w:val="945"/>
          <w:i w:val="0"/>
          <w:iCs w:val="0"/>
          <w:szCs w:val="28"/>
        </w:rPr>
        <w:t xml:space="preserve">ил 97,7%. Доходы поступили от МКУ «ХОЗУ» в сумме 669,27 тыс. рублей, от МКУК «Дом Культуры» в сумме 20,22 тыс. рублей, от управления городской среды в сумме 644,12 тыс. рублей. Невыполнение плана 2025 года, снижение доходов по отношению к 2024 году произош</w:t>
      </w:r>
      <w:r>
        <w:rPr>
          <w:rStyle w:val="945"/>
          <w:i w:val="0"/>
          <w:iCs w:val="0"/>
          <w:szCs w:val="28"/>
        </w:rPr>
        <w:t xml:space="preserve">л</w:t>
      </w:r>
      <w:r>
        <w:rPr>
          <w:rStyle w:val="945"/>
          <w:i w:val="0"/>
          <w:iCs w:val="0"/>
          <w:szCs w:val="28"/>
        </w:rPr>
        <w:t xml:space="preserve">о по причине окончания срока действия договора в сентябре 2025 года (МКУК «Дом Культуры»), не заключения запланированного на 2025 год договора аренды (МКУ «ХОЗУ»), а также в связи с уменьшением с 01.03.2025 значения коэффициента инфляции, применяемого при </w:t>
      </w:r>
      <w:r>
        <w:rPr>
          <w:rStyle w:val="945"/>
          <w:i w:val="0"/>
          <w:iCs w:val="0"/>
          <w:szCs w:val="28"/>
        </w:rPr>
        <w:t xml:space="preserve">расчете арендной платы за пользование зданиями, помещениями, сооружениями и их частями, находящимися в муниципальной собственности города Владивостока.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оходы от сдачи в аренду имущества, составляющего казну городских округов (за исключением земельных участков), составили 124 376,37 тыс. рублей. План выполнен на 88,5%, темп роста доходов к уровню 2024 года составил 86%. Невыполнение планового показателя об</w:t>
      </w:r>
      <w:r>
        <w:rPr>
          <w:rStyle w:val="945"/>
          <w:i w:val="0"/>
          <w:iCs w:val="0"/>
          <w:szCs w:val="28"/>
        </w:rPr>
        <w:t xml:space="preserve">ъ</w:t>
      </w:r>
      <w:r>
        <w:rPr>
          <w:rStyle w:val="945"/>
          <w:i w:val="0"/>
          <w:iCs w:val="0"/>
          <w:szCs w:val="28"/>
        </w:rPr>
        <w:t xml:space="preserve">ясняется неисполнением (ненадлежащим исполнением) арендаторами условий договора в части оплаты за аренду муниципального имущества, а также выпадающими доходами от выбытия 35 объектов аренды и заключения 31 договора купли-продажи муниципального имущества, р</w:t>
      </w:r>
      <w:r>
        <w:rPr>
          <w:rStyle w:val="945"/>
          <w:i w:val="0"/>
          <w:iCs w:val="0"/>
          <w:szCs w:val="28"/>
        </w:rPr>
        <w:t xml:space="preserve">е</w:t>
      </w:r>
      <w:r>
        <w:rPr>
          <w:rStyle w:val="945"/>
          <w:i w:val="0"/>
          <w:iCs w:val="0"/>
          <w:szCs w:val="28"/>
        </w:rPr>
        <w:t xml:space="preserve">ализуемого по преимущественному праву выкупа субъектам малого предпринимательства. Снижение фактического поступления доходов от аренды муниципального имущества в 2025 году по сравнению с 2024 годом связано с уменьшением количества и площади арендуемых объе</w:t>
      </w:r>
      <w:r>
        <w:rPr>
          <w:rStyle w:val="945"/>
          <w:i w:val="0"/>
          <w:iCs w:val="0"/>
          <w:szCs w:val="28"/>
        </w:rPr>
        <w:t xml:space="preserve">ктов.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округов, поступили в сумме 16 897,35</w:t>
      </w:r>
      <w:r>
        <w:rPr>
          <w:rStyle w:val="945"/>
          <w:i w:val="0"/>
          <w:iCs w:val="0"/>
          <w:szCs w:val="28"/>
        </w:rPr>
        <w:t xml:space="preserve"> </w:t>
      </w:r>
      <w:r>
        <w:rPr>
          <w:rStyle w:val="945"/>
          <w:i w:val="0"/>
          <w:iCs w:val="0"/>
          <w:szCs w:val="28"/>
        </w:rPr>
        <w:t xml:space="preserve">тыс. рублей, невыполнение плана на 12,1%. Темп роста к 2024 году составил 143,3%. Доходы поступают в рамках концессионного соглашения от платных парковок на территории города, от плоскостных парковок по улицам Корабельная Набережная и Шуйская, от многоуров</w:t>
      </w:r>
      <w:r>
        <w:rPr>
          <w:rStyle w:val="945"/>
          <w:i w:val="0"/>
          <w:iCs w:val="0"/>
          <w:szCs w:val="28"/>
        </w:rPr>
        <w:t xml:space="preserve">н</w:t>
      </w:r>
      <w:r>
        <w:rPr>
          <w:rStyle w:val="945"/>
          <w:i w:val="0"/>
          <w:iCs w:val="0"/>
          <w:szCs w:val="28"/>
        </w:rPr>
        <w:t xml:space="preserve">евой парковки по улице Верхнепортовая, 8. Невыполнение плана 2025 года связано с отсутствием спроса на многоуровневую парковку по улице Верхнепортовая, 8 у населения из-за сложности управления программой для постановки автомашины на парковочное место и отд</w:t>
      </w:r>
      <w:r>
        <w:rPr>
          <w:rStyle w:val="945"/>
          <w:i w:val="0"/>
          <w:iCs w:val="0"/>
          <w:szCs w:val="28"/>
        </w:rPr>
        <w:t xml:space="preserve">а</w:t>
      </w:r>
      <w:r>
        <w:rPr>
          <w:rStyle w:val="945"/>
          <w:i w:val="0"/>
          <w:iCs w:val="0"/>
          <w:szCs w:val="28"/>
        </w:rPr>
        <w:t xml:space="preserve">ленности расположения многоуровневой парковки от торговых центров, а также вводом в эксплуатацию плоскостных парковок по улицам Корабельная Набережная и Шуйская в более поздние сроки. Рост доходов к 2024 году произошёл за счет увеличения количества парково</w:t>
      </w:r>
      <w:r>
        <w:rPr>
          <w:rStyle w:val="945"/>
          <w:i w:val="0"/>
          <w:iCs w:val="0"/>
          <w:szCs w:val="28"/>
        </w:rPr>
        <w:t xml:space="preserve">чных мест.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лата по соглашениям об установлении сервитута в отношении земельных участков, находящихся в государственной или муниципальной собственности, составила 3 400,80 тыс. рублей. План выполнен на 108,8%,  темп роста к уровню 2024 года составил 413,7 %. Перевыпол</w:t>
      </w:r>
      <w:r>
        <w:rPr>
          <w:rStyle w:val="945"/>
          <w:i w:val="0"/>
          <w:iCs w:val="0"/>
          <w:szCs w:val="28"/>
        </w:rPr>
        <w:t xml:space="preserve">нение планового показателя и рост доходов по отношению к 2024 году объясняется заключением и оплатой новых соглашений об установлении сервитута, предусматривающих единовременный платеж за весь период действия.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собственности, составила 2 285,75 тыс. рублей. План выпол</w:t>
      </w:r>
      <w:r>
        <w:rPr>
          <w:rStyle w:val="945"/>
          <w:i w:val="0"/>
          <w:iCs w:val="0"/>
          <w:szCs w:val="28"/>
        </w:rPr>
        <w:t xml:space="preserve">н</w:t>
      </w:r>
      <w:r>
        <w:rPr>
          <w:rStyle w:val="945"/>
          <w:i w:val="0"/>
          <w:iCs w:val="0"/>
          <w:szCs w:val="28"/>
        </w:rPr>
        <w:t xml:space="preserve">ен на 113,9%. Рост поступления доходов обусловлен заключением новых соглашений об установлении публичных сервитутов и оплатой ранее заключенных соглашений. Темп роста к уровню 2024 года составил 69,3% и обусловлен уменьшением площади земельных участков и к</w:t>
      </w:r>
      <w:r>
        <w:rPr>
          <w:rStyle w:val="945"/>
          <w:i w:val="0"/>
          <w:iCs w:val="0"/>
          <w:szCs w:val="28"/>
        </w:rPr>
        <w:t xml:space="preserve">оличеством соглашений (постановлений) об установлении публичных сервитутов.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лан по перечислению муниципальными унитарными предприятиями города Владивостока  части прибыли, остающейся после уплаты налоговых и иных обязательных платежей, в сумме 31 576,00 тыс. рублей не выполнен. Основная причина - невыполнение плана по выручке от р</w:t>
      </w:r>
      <w:r>
        <w:rPr>
          <w:rStyle w:val="945"/>
          <w:i w:val="0"/>
          <w:iCs w:val="0"/>
          <w:szCs w:val="28"/>
        </w:rPr>
        <w:t xml:space="preserve">е</w:t>
      </w:r>
      <w:r>
        <w:rPr>
          <w:rStyle w:val="945"/>
          <w:i w:val="0"/>
          <w:iCs w:val="0"/>
          <w:szCs w:val="28"/>
        </w:rPr>
        <w:t xml:space="preserve">ализации услуг по технологическому присоединению (подключению) объектов к сетям электроснабжения, теплоснабжения. Объект - Музейный и театрально-образовательный комплекс в г. Владивостоке в районе ул. Аксаковская, 3а, который планировался к подключению к с</w:t>
      </w:r>
      <w:r>
        <w:rPr>
          <w:rStyle w:val="945"/>
          <w:i w:val="0"/>
          <w:iCs w:val="0"/>
          <w:szCs w:val="28"/>
        </w:rPr>
        <w:t xml:space="preserve">етя</w:t>
      </w:r>
      <w:r>
        <w:rPr>
          <w:rStyle w:val="945"/>
          <w:i w:val="0"/>
          <w:iCs w:val="0"/>
          <w:szCs w:val="28"/>
        </w:rPr>
        <w:t xml:space="preserve">м теплоснабжения в 2024 г. </w:t>
        <w:br/>
        <w:t xml:space="preserve">Срок подключения объекта к сетям теплоснабжения перенесен на </w:t>
        <w:br/>
        <w:t xml:space="preserve">30 декабря 2025 г. (дополнительное соглашение № 11 от 31.10.2024 к договору № 532-ТП-22 от 16.03.2022 «О подключении объекта капитального строительства к системам теп</w:t>
      </w:r>
      <w:r>
        <w:rPr>
          <w:rStyle w:val="945"/>
          <w:i w:val="0"/>
          <w:iCs w:val="0"/>
          <w:szCs w:val="28"/>
        </w:rPr>
        <w:t xml:space="preserve">лоснабжения МУПВ «ВПЭС»).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составили </w:t>
      </w:r>
      <w:r>
        <w:rPr>
          <w:rStyle w:val="945"/>
          <w:i w:val="0"/>
          <w:iCs w:val="0"/>
          <w:szCs w:val="28"/>
        </w:rPr>
        <w:t xml:space="preserve">195 630,46 тыс. рублей, выполнение плана года 107,5%, в том числе: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плата за наём жилых помещений муниципального жилищного фонда поступила в сумме 61 662, 58 тыс. рублей. План выполнен на 107,1%. Темп роста к 2024 году составил 108,9%. Перевыполнение плана 2025 года и рост доходов к 2024 году объясняется повышением тарифн</w:t>
      </w:r>
      <w:r>
        <w:rPr>
          <w:rStyle w:val="945"/>
          <w:i w:val="0"/>
          <w:iCs w:val="0"/>
          <w:szCs w:val="28"/>
        </w:rPr>
        <w:t xml:space="preserve">ой</w:t>
      </w:r>
      <w:r>
        <w:rPr>
          <w:rStyle w:val="945"/>
          <w:i w:val="0"/>
          <w:iCs w:val="0"/>
          <w:szCs w:val="28"/>
        </w:rPr>
        <w:t xml:space="preserve"> ставки с 01.03.2025 на 11,0% в связи с внесением изменений в постановление администрации </w:t>
        <w:br/>
        <w:t xml:space="preserve">г. Владивостока от 12.05.2003 № 1070 «Об установлении размера платы за пользование жилым помещением (платы за наем) муниципального жилищного фонда Владивостокского о</w:t>
      </w:r>
      <w:r>
        <w:rPr>
          <w:rStyle w:val="945"/>
          <w:i w:val="0"/>
          <w:iCs w:val="0"/>
          <w:szCs w:val="28"/>
        </w:rPr>
        <w:t xml:space="preserve">круга»;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плата за наём жилых помещений муниципального жилищного фонда коммерческого использования поступила в сумме 21 542, 39 тыс. рублей. План выполнен на 94,9%. Темп роста к 2024 году составил 125,5%. Невыполнение плана 2025 года связано со снижением ин</w:t>
      </w:r>
      <w:r>
        <w:rPr>
          <w:rStyle w:val="945"/>
          <w:i w:val="0"/>
          <w:iCs w:val="0"/>
          <w:szCs w:val="28"/>
        </w:rPr>
        <w:t xml:space="preserve">т</w:t>
      </w:r>
      <w:r>
        <w:rPr>
          <w:rStyle w:val="945"/>
          <w:i w:val="0"/>
          <w:iCs w:val="0"/>
          <w:szCs w:val="28"/>
        </w:rPr>
        <w:t xml:space="preserve">енсивности оплаты нанимателями жилых помещений коммерческого найма во втором полугодии 2025 года, в т. ч. по 33 новым договорам начисления по квитанциям за 4 квартал были оплачены в январе 2026 года. Рост доходов к 2024 году обусловлен увеличением количест</w:t>
      </w:r>
      <w:r>
        <w:rPr>
          <w:rStyle w:val="945"/>
          <w:i w:val="0"/>
          <w:iCs w:val="0"/>
          <w:szCs w:val="28"/>
        </w:rPr>
        <w:t xml:space="preserve">ва муниципальных лицевых счетов на 70 единиц и, соответственно, увеличением общей площади на 1 623,8м2, а также увеличением сумм оплаты по исполнительным листам и погашением задолженности в добровольном порядке;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плата за право на заключение договора, муниципального контракта в сумме 600,00 тыс. рублей поступила за право заключения муниципального контракта № 965/373-101/25 от 25.12.2025 об оказании услуг по транспортировке и доставке невостребованных тел с д</w:t>
      </w:r>
      <w:r>
        <w:rPr>
          <w:rStyle w:val="945"/>
          <w:i w:val="0"/>
          <w:iCs w:val="0"/>
          <w:szCs w:val="28"/>
        </w:rPr>
        <w:t xml:space="preserve">орожно-транспортных происшествий;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 (пл</w:t>
      </w:r>
      <w:r>
        <w:rPr>
          <w:rStyle w:val="945"/>
          <w:i w:val="0"/>
          <w:iCs w:val="0"/>
          <w:szCs w:val="28"/>
        </w:rPr>
        <w:t xml:space="preserve">а</w:t>
      </w:r>
      <w:r>
        <w:rPr>
          <w:rStyle w:val="945"/>
          <w:i w:val="0"/>
          <w:iCs w:val="0"/>
          <w:szCs w:val="28"/>
        </w:rPr>
        <w:t xml:space="preserve">та за размещение объектов на землях или земельных участков, находящихся в муниципальной собственности без предоставления земельных участков и установления сервитутов) поступили в размере 5 260,70 тыс. рублей. План выполнен на 100%. Темп роста к 2024 году с</w:t>
      </w:r>
      <w:r>
        <w:rPr>
          <w:rStyle w:val="945"/>
          <w:i w:val="0"/>
          <w:iCs w:val="0"/>
          <w:szCs w:val="28"/>
        </w:rPr>
        <w:t xml:space="preserve">оставил 284,1% и обусловлен увеличением количества выданных разрешений в 2025 году и площади используемых земельных участков;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прочие поступления от использования имущества, находящегося в собственности городских округов  (плата за предоставление ниши колумбария), поступили в сумме 6 021,03 тыс. рублей. План выполнен на 100,8%. Перевыполнение плана объясняется увеличением объема </w:t>
      </w:r>
      <w:r>
        <w:rPr>
          <w:rStyle w:val="945"/>
          <w:i w:val="0"/>
          <w:iCs w:val="0"/>
          <w:szCs w:val="28"/>
        </w:rPr>
        <w:t xml:space="preserve">услуг, связанных с захоронением в колумбарии на кладбище «Лесное». Рост к 2024 году связан с увеличением обращений граждан о получении в бессрочное пользование ниши колумбария для захоронения урны с прахом;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>
        <w:rPr>
          <w:rStyle w:val="945"/>
          <w:i w:val="0"/>
          <w:iCs w:val="0"/>
          <w:szCs w:val="28"/>
        </w:rPr>
        <w:t xml:space="preserve">в сумме 0,44 тыс. рублей поступили от ООО «Канск» за установку и эксплуатацию рекламной конструкции по  договору от 01.08.2019;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плата за размещение нестационарных торговых объектов (НТО), плата за право включения хозяйствующего субъекта в схему размещения НТО (по результатам проведенного аукциона и без проведения аукциона) за 2025 год поступила в сумме 63 762,96 тыс. рублей, план </w:t>
      </w:r>
      <w:r>
        <w:rPr>
          <w:rStyle w:val="945"/>
          <w:i w:val="0"/>
          <w:iCs w:val="0"/>
          <w:szCs w:val="28"/>
        </w:rPr>
        <w:t xml:space="preserve">в</w:t>
      </w:r>
      <w:r>
        <w:rPr>
          <w:rStyle w:val="945"/>
          <w:i w:val="0"/>
          <w:iCs w:val="0"/>
          <w:szCs w:val="28"/>
        </w:rPr>
        <w:t xml:space="preserve">ыполнен на 125,5%, темп роста к уровню 2024 года составил 121,7%. Перевыполнение плановых показателей связано с фактическим поступлением денежных средств по результатам проведенных аукционов, а также с учетом поступления платежей прошлых лет по результатам</w:t>
      </w:r>
      <w:r>
        <w:rPr>
          <w:rStyle w:val="945"/>
          <w:i w:val="0"/>
          <w:iCs w:val="0"/>
          <w:szCs w:val="28"/>
        </w:rPr>
        <w:t xml:space="preserve"> проведенной претензионной работы;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плата по договору на установку и эксплуатацию рекламной конструкции, средства от продажи права на заключение договора на установку и эксплуатацию рекламной конструкции поступила в сумме 36 780,37 тыс. рублей, план выполнен на 92,9%, темп роста к уровню 20</w:t>
      </w:r>
      <w:r>
        <w:rPr>
          <w:rStyle w:val="945"/>
          <w:i w:val="0"/>
          <w:iCs w:val="0"/>
          <w:szCs w:val="28"/>
        </w:rPr>
        <w:t xml:space="preserve">2</w:t>
      </w:r>
      <w:r>
        <w:rPr>
          <w:rStyle w:val="945"/>
          <w:i w:val="0"/>
          <w:iCs w:val="0"/>
          <w:szCs w:val="28"/>
        </w:rPr>
        <w:t xml:space="preserve">4 года составил 94,0%. Невыполнение плана поступлений от оплаты по договорам на установку и эксплуатацию рекламных конструкций за 2025 год вызвано демонтажем крупноформатных рекламных конструкций в рамках реализации Концепции развития наружной рекламы, утв</w:t>
      </w:r>
      <w:r>
        <w:rPr>
          <w:rStyle w:val="945"/>
          <w:i w:val="0"/>
          <w:iCs w:val="0"/>
          <w:szCs w:val="28"/>
        </w:rPr>
        <w:t xml:space="preserve">ержденной постановлением администрации города Владивостока от 13.05.2024 № 1136, предусматривающей сокращение количества рекламных конструкций, что повлекло за собой исключение за 12 месяцев 2025 года 52 рекламных конструкций.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К</w:t>
      </w:r>
      <w:r>
        <w:rPr>
          <w:rStyle w:val="945"/>
          <w:i w:val="0"/>
          <w:iCs w:val="0"/>
          <w:szCs w:val="28"/>
        </w:rPr>
        <w:t xml:space="preserve">роме того, на основании мирового соглашения между администрацией города Владивостока и ООО «Экспогрупп» произведен зачет денежных средств, взысканных с Администрации в пользу ООО «Экспогрупп», в размере 1 382,6 тыс. рублей в счет текущих платежей по догово</w:t>
      </w:r>
      <w:r>
        <w:rPr>
          <w:rStyle w:val="945"/>
          <w:i w:val="0"/>
          <w:iCs w:val="0"/>
          <w:szCs w:val="28"/>
        </w:rPr>
        <w:t xml:space="preserve">ру от 13.02.2017</w:t>
        <w:br/>
        <w:t xml:space="preserve">№ 8738-17/р, то есть ООО «Экспогрупп» не производило оплату за период ноябрь-декабрь 2025 года на общую сумму 864,1 тыс. рублей.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доходов по плате за негативное воздействие на окружающую среду выполнен на 103,3%, фактически поступило 141 172,7 тыс. рублей, темп роста к уровню 2024 года составил 167,1%.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Перевыполнение плана 2025 года, а также увеличение поступлений в 2025 году по сравнению с 2024 годом связано с взысканием задолженности по плате за негативное воздействие на окружающую среду за 2021-2022 годы с КГУП «Приморский экологический оператор».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Доходы от оказания платных услуг (работ) и компенсации затрат государства получены в сумме 242 627,87 тыс. рублей, план выполнен на 301,4 %, темп роста к 2024 году 182,1 %. </w:t>
      </w:r>
      <w:r>
        <w:rPr>
          <w:rStyle w:val="945"/>
          <w:i w:val="0"/>
          <w:iCs w:val="0"/>
          <w:szCs w:val="28"/>
        </w:rPr>
        <w:t xml:space="preserve">Из общей суммы доходов поступили:</w:t>
      </w:r>
      <w:r>
        <w:rPr>
          <w:rStyle w:val="945"/>
          <w:i w:val="0"/>
          <w:iCs w:val="0"/>
          <w:szCs w:val="28"/>
        </w:rPr>
      </w:r>
      <w:r/>
    </w:p>
    <w:p>
      <w:pPr>
        <w:pStyle w:val="753"/>
        <w:numPr>
          <w:ilvl w:val="0"/>
          <w:numId w:val="27"/>
        </w:numPr>
        <w:ind w:left="0" w:right="0" w:firstLine="709"/>
      </w:pPr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оходы от оказания платных услуг (работ) в сумме 34 830,07 тыс. рублей, выполнение плана 109,3 %, в том числе доходы: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от оказания платных услуг МКУ «Учетно-регистрационный центр» в сумме 15 223,82 тыс. рублей, выполнение плана 107,1%, темп роста 118,2%. Основной причиной перевыполнения плана 2025 года и роста доходов к 2024 году является уплата в 2025 году просроченной д</w:t>
      </w:r>
      <w:r>
        <w:rPr>
          <w:rStyle w:val="945"/>
          <w:i w:val="0"/>
          <w:iCs w:val="0"/>
          <w:szCs w:val="28"/>
        </w:rPr>
        <w:t xml:space="preserve">ебиторской задолженности по исполнительным листам от 2-х управляющих компаний и добровольно оплаченная задолженность по выставленным претензиям от 20-ти управляющих компаний;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от оказания платных услуг МКУ «Агентство по продаже муниципальных земель и недвижимости» в сумме 90,00 тыс. рублей, выполнение плана составило 94,7%, темп роста составил 300,0%. Невыполнение плана 2025 года объясняется отсутствием спроса на оказание платн</w:t>
      </w:r>
      <w:r>
        <w:rPr>
          <w:rStyle w:val="945"/>
          <w:i w:val="0"/>
          <w:iCs w:val="0"/>
          <w:szCs w:val="28"/>
        </w:rPr>
        <w:t xml:space="preserve">ы</w:t>
      </w:r>
      <w:r>
        <w:rPr>
          <w:rStyle w:val="945"/>
          <w:i w:val="0"/>
          <w:iCs w:val="0"/>
          <w:szCs w:val="28"/>
        </w:rPr>
        <w:t xml:space="preserve">х услуг физическим лицам по оформлению договоров приватизации ведомственного жилья, рост доходов к 2024 году объясняется увеличением количества заключенных договоров на оказание услуг по подготовке и проведению аукционов, а также заявок от физических лиц н</w:t>
      </w:r>
      <w:r>
        <w:rPr>
          <w:rStyle w:val="945"/>
          <w:i w:val="0"/>
          <w:iCs w:val="0"/>
          <w:szCs w:val="28"/>
        </w:rPr>
        <w:t xml:space="preserve">а подготовку договоров приватизации ведомственного жилья;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от оказания платных услуг МКУ «Владивостокская городская поисково-спасательная служба» в сумме 13 407,84 тыс. рублей, выполнение плана 106,4%, темп роста 108,6%. Перевыполнение плана 2025 года и рост доходов к 2024 году произошел по причине уплаты контраг</w:t>
      </w:r>
      <w:r>
        <w:rPr>
          <w:rStyle w:val="945"/>
          <w:i w:val="0"/>
          <w:iCs w:val="0"/>
          <w:szCs w:val="28"/>
        </w:rPr>
        <w:t xml:space="preserve">ентами авансовых платежей, запланированных к поступлению в 1 квартале 2026 года, и поступления внеплановых доходов от оказания услуг по ликвидации чрезвычайных ситуаций в большем объеме, чем в 2024 году;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от платы за оказание услуг по присоединению объектов дорожного сервиса к автомобильным дорогам общего пользования, зачисляемой в бюджет городских округов, в сумме 6 108,41 тыс. рублей, выполнение плана 123,3%, темп роста 484,4%. Перевыполнение плана 2025 </w:t>
      </w:r>
      <w:r>
        <w:rPr>
          <w:rStyle w:val="945"/>
          <w:i w:val="0"/>
          <w:iCs w:val="0"/>
          <w:szCs w:val="28"/>
        </w:rPr>
        <w:t xml:space="preserve">г</w:t>
      </w:r>
      <w:r>
        <w:rPr>
          <w:rStyle w:val="945"/>
          <w:i w:val="0"/>
          <w:iCs w:val="0"/>
          <w:szCs w:val="28"/>
        </w:rPr>
        <w:t xml:space="preserve">ода и рост доходов к 2024 году обусловлен увеличением количества обращений юридических и физических лиц на предоставление услуги по присоединению объектов дорожного сервиса к автомобильным дорогам общего пользования местного значения (в 2025 году оплачено </w:t>
      </w:r>
      <w:r>
        <w:rPr>
          <w:rStyle w:val="945"/>
          <w:i w:val="0"/>
          <w:iCs w:val="0"/>
          <w:szCs w:val="28"/>
        </w:rPr>
        <w:t xml:space="preserve">заявлений 43, в 2024 году - 13);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2) доходы от компенсации затрат в сумме 207 797,80 тыс. рублей, в том числе: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доходы, поступающие в порядке возмещения расходов, понесенных в связи с эксплуатацией имущества городского округа, в сумме 8 137,30 тыс. рублей, в том числе доходы поступили от МКУ «ХОЗУ» в сумме 3 381,99 тыс. рублей, от управления транспорта администраци</w:t>
      </w:r>
      <w:r>
        <w:rPr>
          <w:rStyle w:val="945"/>
          <w:i w:val="0"/>
          <w:iCs w:val="0"/>
          <w:szCs w:val="28"/>
        </w:rPr>
        <w:t xml:space="preserve">и</w:t>
      </w:r>
      <w:r>
        <w:rPr>
          <w:rStyle w:val="945"/>
          <w:i w:val="0"/>
          <w:iCs w:val="0"/>
          <w:szCs w:val="28"/>
        </w:rPr>
        <w:t xml:space="preserve"> города Владивостока в сумме 848,25 тыс. рублей, от Управления муниципальной собственности г.Владивостока в сумме 3 907,07 тыс. рублей. Выполнение плана 2025 года - 114,9%, темп роста - 114,3%. Перевыполнение плана 2025 года и рост доходов к 2024 году объя</w:t>
      </w:r>
      <w:r>
        <w:rPr>
          <w:rStyle w:val="945"/>
          <w:i w:val="0"/>
          <w:iCs w:val="0"/>
          <w:szCs w:val="28"/>
        </w:rPr>
        <w:t xml:space="preserve">с</w:t>
      </w:r>
      <w:r>
        <w:rPr>
          <w:rStyle w:val="945"/>
          <w:i w:val="0"/>
          <w:iCs w:val="0"/>
          <w:szCs w:val="28"/>
        </w:rPr>
        <w:t xml:space="preserve">няется погашением задолженности прошлых лет по результатам претензионно-исковой работы и поступлением авансовых платежей за 2026 год (управление муниципальной собственности г.Владивостока), увеличением в 2025 году тарифов на коммунальные услуги (МКУ «ХОЗУ»</w:t>
      </w:r>
      <w:r>
        <w:rPr>
          <w:rStyle w:val="945"/>
          <w:i w:val="0"/>
          <w:iCs w:val="0"/>
          <w:szCs w:val="28"/>
        </w:rPr>
        <w:t xml:space="preserve">);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доходы от возврата дебиторской задолженности и иных платежей прошлых лет составили 32 392,89 тыс. рублей, выполнение плана года 112,8%;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доходы от возврата платежей прошлых лет в части остатков целевых средств составили 104 672,61 тыс. 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доходы от компенсации затрат бюджетов городских округов по исковым требованиям, удовлетворяемым за счет казны Российской Федерации, субъекта Российской Федерации, в сумме 41 185,89 тыс. рублей. Перевыполнение плана связано с тем, что основная сумма поступ</w:t>
      </w:r>
      <w:r>
        <w:rPr>
          <w:rStyle w:val="945"/>
          <w:i w:val="0"/>
          <w:iCs w:val="0"/>
          <w:szCs w:val="28"/>
        </w:rPr>
        <w:t xml:space="preserve">лений пришлась на конец декабря 2025 года;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доходы от компенсации затрат бюджетов городских округов (компенсация затрат на осуществление освобождения самовольно занятого земельного участка, сноса самовольных построек и иных объектов движимого имущества) в сумме 2 865,18 тыс. рублей, выполнение план</w:t>
      </w:r>
      <w:r>
        <w:rPr>
          <w:rStyle w:val="945"/>
          <w:i w:val="0"/>
          <w:iCs w:val="0"/>
          <w:szCs w:val="28"/>
        </w:rPr>
        <w:t xml:space="preserve">а</w:t>
      </w:r>
      <w:r>
        <w:rPr>
          <w:rStyle w:val="945"/>
          <w:i w:val="0"/>
          <w:iCs w:val="0"/>
          <w:szCs w:val="28"/>
        </w:rPr>
        <w:t xml:space="preserve"> года 89,9%, темп роста составил 47,3%. Доходы поступили от управления дорог администрации города Владивостока в сумме 2 756,37 тыс. рублей, снижение доходов обусловлено уменьшением количества демонтированных объектов розничной торговли, а также от управле</w:t>
      </w:r>
      <w:r>
        <w:rPr>
          <w:rStyle w:val="945"/>
          <w:i w:val="0"/>
          <w:iCs w:val="0"/>
          <w:szCs w:val="28"/>
        </w:rPr>
        <w:t xml:space="preserve">н</w:t>
      </w:r>
      <w:r>
        <w:rPr>
          <w:rStyle w:val="945"/>
          <w:i w:val="0"/>
          <w:iCs w:val="0"/>
          <w:szCs w:val="28"/>
        </w:rPr>
        <w:t xml:space="preserve">ия градостроительства администрации города Владивостока в сумме 168,00 тыс. рублей, план 2025 года выполнен на 100%. Снижение доходов к 2024 году связано с уменьшением в 2025 году затрат на снос самовольных построек и иных объектов движимого имущества. Так</w:t>
      </w:r>
      <w:r>
        <w:rPr>
          <w:rStyle w:val="945"/>
          <w:i w:val="0"/>
          <w:iCs w:val="0"/>
          <w:szCs w:val="28"/>
        </w:rPr>
        <w:t xml:space="preserve">же по управлению муниципальной собственности г.Владивостока проведен возврат на сумму 29,27 тыс. рублей, ошибочно поступивших от службы судебных приставов в рамках исполнительных производств в декабре 2024 года и в 2025 году;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прочие доходы от компенсации затрат бюджетов городских округов (средства, поступающие от возврата учреждениями субсидий на выполнение ими муниципального задания прошлых лет) в сумме 10 646,64 тыс. рублей, в том числе доходы поступили от управления дорог а</w:t>
      </w:r>
      <w:r>
        <w:rPr>
          <w:rStyle w:val="945"/>
          <w:i w:val="0"/>
          <w:iCs w:val="0"/>
          <w:szCs w:val="28"/>
        </w:rPr>
        <w:t xml:space="preserve">д</w:t>
      </w:r>
      <w:r>
        <w:rPr>
          <w:rStyle w:val="945"/>
          <w:i w:val="0"/>
          <w:iCs w:val="0"/>
          <w:szCs w:val="28"/>
        </w:rPr>
        <w:t xml:space="preserve">министрации города Владивостока в сумме 9 379,10 тыс. рублей, от управления управления архитектуры и строительства объектов ВГО в сумме 935,18 тыс. рублей, от управления по работе с муниципальными учреждениями образования администрации города Владивостока </w:t>
      </w:r>
      <w:r>
        <w:rPr>
          <w:rStyle w:val="945"/>
          <w:i w:val="0"/>
          <w:iCs w:val="0"/>
          <w:szCs w:val="28"/>
        </w:rPr>
        <w:t xml:space="preserve">в сумме 332,36 тыс. 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прочие доходы от компенсации затрат бюджетов городских округов (иные поступления) в сумме 7 867,37 тыс. рублей, в том числе доходы поступили от управления дорог администрации города Владивостока в сумме   7 813,53 тыс. рублей (поступления от контрагентов </w:t>
      </w:r>
      <w:r>
        <w:rPr>
          <w:rStyle w:val="945"/>
          <w:i w:val="0"/>
          <w:iCs w:val="0"/>
          <w:szCs w:val="28"/>
        </w:rPr>
        <w:t xml:space="preserve">с</w:t>
      </w:r>
      <w:r>
        <w:rPr>
          <w:rStyle w:val="945"/>
          <w:i w:val="0"/>
          <w:iCs w:val="0"/>
          <w:szCs w:val="28"/>
        </w:rPr>
        <w:t xml:space="preserve">редств от реализации материалов повторного использования (возвратные материалы), от управления городской среды администрации города Владивостока в сумме 42,86 тыс. рублей (возмещение расходов, затраченных на содержание животных, в соответствии со ст.232 ГК</w:t>
      </w:r>
      <w:r>
        <w:rPr>
          <w:rStyle w:val="945"/>
          <w:i w:val="0"/>
          <w:iCs w:val="0"/>
          <w:szCs w:val="28"/>
        </w:rPr>
        <w:t xml:space="preserve"> </w:t>
      </w:r>
      <w:r>
        <w:rPr>
          <w:rStyle w:val="945"/>
          <w:i w:val="0"/>
          <w:iCs w:val="0"/>
          <w:szCs w:val="28"/>
        </w:rPr>
        <w:t xml:space="preserve">РФ, в случае возврата безнадзорных домашних животных собственнику); от управления муниципальной собственности г.Владивостока 10,98 тыс. рублей (возврат излишне предъявленных денежных средств по муниципальным контрактам № 966/289-77/23, 966/289-73/23 от 01</w:t>
      </w:r>
      <w:r>
        <w:rPr>
          <w:rStyle w:val="945"/>
          <w:i w:val="0"/>
          <w:iCs w:val="0"/>
          <w:szCs w:val="28"/>
        </w:rPr>
        <w:t xml:space="preserve">.11.2023 от реализации материалов (металлолома).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по доходам от продажи материальных и нематериальных активов выполнен на 92,8 %, поступило 806 358,88 тыс. рублей, в том числе: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1) доходы от реализации имущества, находящегося в государственной и муниципальной собственности  поступили в сумме 445 586,57 тыс. рублей, план выполнен на 86,7%, темп роста к уровню прошлого года 280,0%, из них: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доходы от реализации имущества, находящегося в собственности городских округов, в части реализации основных средств по указанному имуществу выполнен на 86,7%, поступления составили 445 572,46 тыс. рублей. Темп роста к 2024 году 280,3 %. Невыполнение плано</w:t>
      </w:r>
      <w:r>
        <w:rPr>
          <w:rStyle w:val="945"/>
          <w:i w:val="0"/>
          <w:iCs w:val="0"/>
          <w:szCs w:val="28"/>
        </w:rPr>
        <w:t xml:space="preserve">в</w:t>
      </w:r>
      <w:r>
        <w:rPr>
          <w:rStyle w:val="945"/>
          <w:i w:val="0"/>
          <w:iCs w:val="0"/>
          <w:szCs w:val="28"/>
        </w:rPr>
        <w:t xml:space="preserve">ого показателя объясняется тем, что в Программу приватизации муниципального имущества включены низколиквидные объекты, не представляющие интереса для инвесторов. Рост темпа роста доходов 2025 года к уровню 2024 объясняется  увеличением количества и площади</w:t>
      </w:r>
      <w:r>
        <w:rPr>
          <w:rStyle w:val="945"/>
          <w:i w:val="0"/>
          <w:iCs w:val="0"/>
          <w:szCs w:val="28"/>
        </w:rPr>
        <w:t xml:space="preserve"> реализованных объектов, в том числе высоколиквидных нежилых помещений, расположенных по адресу: </w:t>
        <w:br/>
        <w:t xml:space="preserve">г. Владивосток, ул. Фадеева, 32, общей площадью 3 436,8 кв. м;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доходы от реализации имущества в оперативном управлении составили 14,11 тыс. рублей, в том числе от управления культуры в сумме 6,08 тыс. рублей, от МКУ «ХОЗУ» в сумме 8,03 тыс.рублей (реализован лом металлов, полученных при утилизации основных средств);
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2) доходы от продажи земельных участков поступили в сумме </w:t>
        <w:br/>
        <w:t xml:space="preserve">168 281,06 тыс. рублей, выполнение плана года 98,1%, темп роста доходов к уровню 2024 года составил 146,9%, из них: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</w:t>
      </w:r>
      <w:r>
        <w:rPr>
          <w:rStyle w:val="945"/>
          <w:i w:val="0"/>
          <w:iCs w:val="0"/>
          <w:szCs w:val="28"/>
        </w:rPr>
        <w:t xml:space="preserve">о продаже земельных участков, государственная собственность на которые не разграничена, поступило 159 813,77 тыс. рублей, выполнение плана года 101,1%. Рост доходов обусловлен дополнительным поступлением в бюджет Владивостокского городского округа платежей</w:t>
      </w:r>
      <w:r>
        <w:rPr>
          <w:rStyle w:val="945"/>
          <w:i w:val="0"/>
          <w:iCs w:val="0"/>
          <w:szCs w:val="28"/>
        </w:rPr>
        <w:t xml:space="preserve"> </w:t>
      </w:r>
      <w:r>
        <w:rPr>
          <w:rStyle w:val="945"/>
          <w:i w:val="0"/>
          <w:iCs w:val="0"/>
          <w:szCs w:val="28"/>
        </w:rPr>
        <w:t xml:space="preserve">по 5 договорам купли-продажи земельных участков, государственная собственность на которые не разграничена, общей площадью 4702 кв.м. Темп роста доходов к уровню 2024 года составил 150,7% и обусловлен увеличением количества и площади проданных земельных уча</w:t>
      </w:r>
      <w:r>
        <w:rPr>
          <w:rStyle w:val="945"/>
          <w:i w:val="0"/>
          <w:iCs w:val="0"/>
          <w:szCs w:val="28"/>
        </w:rPr>
        <w:t xml:space="preserve">стков;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</w:t>
      </w:r>
      <w:r>
        <w:rPr>
          <w:rStyle w:val="945"/>
          <w:i w:val="0"/>
          <w:iCs w:val="0"/>
          <w:szCs w:val="28"/>
        </w:rPr>
        <w:t xml:space="preserve">о продаже земельных участков, находящихся в муниципальной собственности, плата поступила в размере 8 467,29 тыс. рублей. Выполнение плана года составило 63,3%. Темп роста доходов к уровню 2024 года составил 99,9%. Невыполнение плана обусловлено тем, что за</w:t>
      </w:r>
      <w:r>
        <w:rPr>
          <w:rStyle w:val="945"/>
          <w:i w:val="0"/>
          <w:iCs w:val="0"/>
          <w:szCs w:val="28"/>
        </w:rPr>
        <w:t xml:space="preserve">ключение договоров купли-продажи земельных участков носит заявительный характер;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3) плата за увеличение площади земельных участков, находящихся в частной собственности, в результате перераспределения таких земельных участков с земельными участками, государственная собственность на которые не разграничена и земельными участками, на</w:t>
      </w:r>
      <w:r>
        <w:rPr>
          <w:rStyle w:val="945"/>
          <w:i w:val="0"/>
          <w:iCs w:val="0"/>
          <w:szCs w:val="28"/>
        </w:rPr>
        <w:t xml:space="preserve">х</w:t>
      </w:r>
      <w:r>
        <w:rPr>
          <w:rStyle w:val="945"/>
          <w:i w:val="0"/>
          <w:iCs w:val="0"/>
          <w:szCs w:val="28"/>
        </w:rPr>
        <w:t xml:space="preserve">одящимися в собственности Владивостокского городского округа, поступила в сумме 192 491,25 тыс. рублей, выполнение плана составило 104,8%. Темп роста к уровню 2024 года составил 120,1%. Увеличение доходов произошло за счет увеличения  количества заключенны</w:t>
      </w:r>
      <w:r>
        <w:rPr>
          <w:rStyle w:val="945"/>
          <w:i w:val="0"/>
          <w:iCs w:val="0"/>
          <w:szCs w:val="28"/>
        </w:rPr>
        <w:t xml:space="preserve">х соглашений и перераспределяемой площади земельных участков.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В 2025 году в бюджет ВГО поступило денежных взысканий (штрафов) и иных сумм в возмещение ущерба 274 108,62 тыс. рублей или 111,6% к плану 2025 года. Темп роста к уровню 2024 года составил 108,2%.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</w:t>
      </w:r>
      <w:r>
        <w:rPr>
          <w:rStyle w:val="945"/>
          <w:i w:val="0"/>
          <w:iCs w:val="0"/>
          <w:szCs w:val="28"/>
        </w:rPr>
        <w:t xml:space="preserve">еревыполнение плана связано с ростом количества выявленных нарушений, в отношении которых вынесены решения о привлечении к административной ответственности, налагаемые мировыми судьями, администрируемых Департаментом по координации правоохранительной деяте</w:t>
      </w:r>
      <w:r>
        <w:rPr>
          <w:rStyle w:val="945"/>
          <w:i w:val="0"/>
          <w:iCs w:val="0"/>
          <w:szCs w:val="28"/>
        </w:rPr>
        <w:t xml:space="preserve">л</w:t>
      </w:r>
      <w:r>
        <w:rPr>
          <w:rStyle w:val="945"/>
          <w:i w:val="0"/>
          <w:iCs w:val="0"/>
          <w:szCs w:val="28"/>
        </w:rPr>
        <w:t xml:space="preserve">ьности, исполнения административного законодательства и обеспечения деятельности мировых судей Приморского края. Также рост связан с увеличением нарушений, установленных статьей 7.27 Закона Приморского края от 05.03.2007 № 44-КЗ «Об административных правон</w:t>
      </w:r>
      <w:r>
        <w:rPr>
          <w:rStyle w:val="945"/>
          <w:i w:val="0"/>
          <w:iCs w:val="0"/>
          <w:szCs w:val="28"/>
        </w:rPr>
        <w:t xml:space="preserve">арушениях в Приморском крае» за нарушение порядка пользования платными парковками общего пользования, налагаемых управлением общественной безопасности и взаимодействия с органами власти администрации города Владивостока. </w:t>
      </w:r>
      <w:r>
        <w:rPr>
          <w:rStyle w:val="945"/>
          <w:i w:val="0"/>
          <w:iCs w:val="0"/>
          <w:szCs w:val="28"/>
        </w:rPr>
      </w:r>
      <w:r/>
    </w:p>
    <w:p>
      <w:pPr>
        <w:rPr>
          <w:highlight w:val="none"/>
        </w:rPr>
      </w:pPr>
      <w:r>
        <w:rPr>
          <w:rStyle w:val="945"/>
          <w:i w:val="0"/>
          <w:iCs w:val="0"/>
          <w:szCs w:val="28"/>
          <w:highlight w:val="none"/>
        </w:rPr>
        <w:t xml:space="preserve">По прочим неналоговым доходам план выполнен на 131,5%, поступило 187 994,16 тыс. рублей, в том числе: 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rStyle w:val="945"/>
          <w:i w:val="0"/>
          <w:iCs w:val="0"/>
          <w:szCs w:val="28"/>
          <w:highlight w:val="none"/>
        </w:rPr>
        <w:t xml:space="preserve">-</w:t>
      </w:r>
      <w:r>
        <w:rPr>
          <w:rStyle w:val="945"/>
          <w:i w:val="0"/>
          <w:iCs w:val="0"/>
          <w:szCs w:val="28"/>
          <w:highlight w:val="none"/>
        </w:rPr>
        <w:t xml:space="preserve"> прочие неналоговые доходы бюджетов городских округов (компенсационная стоимость зеленых насаждений и другие экологические согласования) поступили в сумме 179 124,20 тыс. рублей, план выполнен на 132,7%, темп роста к уровню прошлого года 116,4%. Перевыполн</w:t>
      </w:r>
      <w:r>
        <w:rPr>
          <w:rStyle w:val="945"/>
          <w:i w:val="0"/>
          <w:iCs w:val="0"/>
          <w:szCs w:val="28"/>
          <w:highlight w:val="none"/>
        </w:rPr>
        <w:t xml:space="preserve">ение плана вызвано поступлением в ноябре – декабре 2025 года компенсационной стоимости за вынужденный снос зеленых насаждений в размере 44 124,20 тыс. рублей в связи со строительством многоквартирных многоэтажных жилых домов.</w:t>
      </w:r>
      <w:r>
        <w:rPr>
          <w:highlight w:val="none"/>
        </w:rPr>
      </w:r>
      <w:r>
        <w:rPr>
          <w:highlight w:val="none"/>
        </w:rPr>
      </w:r>
    </w:p>
    <w:p>
      <w:r>
        <w:rPr>
          <w:rStyle w:val="945"/>
          <w:i w:val="0"/>
          <w:iCs w:val="0"/>
          <w:szCs w:val="28"/>
        </w:rPr>
        <w:t xml:space="preserve">О</w:t>
      </w:r>
      <w:r>
        <w:rPr>
          <w:rStyle w:val="945"/>
          <w:i w:val="0"/>
          <w:iCs w:val="0"/>
          <w:szCs w:val="28"/>
        </w:rPr>
        <w:t xml:space="preserve">тклонение фактических поступлений 2025 года от фактических поступлений 2024 года произошло за счет поступления в ноябре-декабре 2025 года в бюджет Владивостокского городского округа компенсационной стоимости за вынужденный снос зеленых насаждений в размере</w:t>
      </w:r>
      <w:r>
        <w:rPr>
          <w:rStyle w:val="945"/>
          <w:i w:val="0"/>
          <w:iCs w:val="0"/>
          <w:szCs w:val="28"/>
        </w:rPr>
        <w:t xml:space="preserve"> </w:t>
      </w:r>
      <w:r>
        <w:rPr>
          <w:rStyle w:val="945"/>
          <w:i w:val="0"/>
          <w:iCs w:val="0"/>
          <w:szCs w:val="28"/>
        </w:rPr>
        <w:t xml:space="preserve">25 216,00 тыс. рублей в связи с увеличением темпов жилищного строительства на территориях города Владивостока, занятых зелеными насаждениями, в районе ул. Нейбута, ул. 50 лет Октября, мкр. «Снеговая падь». Данные поступления являются единовременными и нося</w:t>
      </w:r>
      <w:r>
        <w:rPr>
          <w:rStyle w:val="945"/>
          <w:i w:val="0"/>
          <w:iCs w:val="0"/>
          <w:szCs w:val="28"/>
        </w:rPr>
        <w:t xml:space="preserve">т разовый характер;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доходы от реализации списанного имущества поступили в сумме           56,42 тыс. рублей , план выполнен на 29,5%.  Невыполнение плана обусловлено малым объемом распоряжений, поступивших в МКУ «АМПЗН» для осуществления  ликвидации списанного муниципального</w:t>
      </w:r>
      <w:r>
        <w:rPr>
          <w:rStyle w:val="945"/>
          <w:i w:val="0"/>
          <w:iCs w:val="0"/>
          <w:szCs w:val="28"/>
        </w:rPr>
        <w:t xml:space="preserve"> </w:t>
      </w:r>
      <w:r>
        <w:rPr>
          <w:rStyle w:val="945"/>
          <w:i w:val="0"/>
          <w:iCs w:val="0"/>
          <w:szCs w:val="28"/>
        </w:rPr>
        <w:t xml:space="preserve">имущества. К уровню 2024 года доходы от реализации списанного муниципального имущества увеличились.  Основная причина – ликвидация в 2025 году (путем разборки на лом) списанного оборудования, установленного в тяговой подстанции № 12 по ул. Полетаева, 29, с</w:t>
      </w:r>
      <w:r>
        <w:rPr>
          <w:rStyle w:val="945"/>
          <w:i w:val="0"/>
          <w:iCs w:val="0"/>
          <w:szCs w:val="28"/>
        </w:rPr>
        <w:t xml:space="preserve"> последующей реализацией лома утилизирующей организации ООО «ЦУТО»;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плата за выдачу разрешения на размещение объектов на землях или земельных участках, государственная собственность на которые не разграничена и которые расположены в границах городских округов, без  предоставления земельных участков и установления сер</w:t>
      </w:r>
      <w:r>
        <w:rPr>
          <w:rStyle w:val="945"/>
          <w:i w:val="0"/>
          <w:iCs w:val="0"/>
          <w:szCs w:val="28"/>
        </w:rPr>
        <w:t xml:space="preserve">в</w:t>
      </w:r>
      <w:r>
        <w:rPr>
          <w:rStyle w:val="945"/>
          <w:i w:val="0"/>
          <w:iCs w:val="0"/>
          <w:szCs w:val="28"/>
        </w:rPr>
        <w:t xml:space="preserve">итутов поступила в сумме 8 935,13 тыс. рублей. План выполнен на 114,5%. Перевыполнение объясняется дополнительной выдачей разрешений на использование земельных участков и поступлением авансовых платежей за разрешения на 2026 год. Темп роста к уровню 2024 г</w:t>
      </w:r>
      <w:r>
        <w:rPr>
          <w:rStyle w:val="945"/>
          <w:i w:val="0"/>
          <w:iCs w:val="0"/>
          <w:szCs w:val="28"/>
        </w:rPr>
        <w:t xml:space="preserve">ода составил 218,7%.  Увеличение поступлений доходов  в 2025 по сравнению с 2024 произошло за счет увеличения количества выданных разрешений в 2025 году, а также увеличения кадастровой стоимости земельных участков;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уточнены невыясненные поступления, зачисляемые в бюджеты городских округов, на сумму -227,71 тыс. рублей.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Безвозмездные поступления в 2025 году составили 18 034 852,77 тыс. рублей, выполнение составило 94,4%, темп роста к 2024 году 107,0%. Доля безвозмездных поступлений в общей структуре доходов составила 51,8%.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Безвозмездные поступления от других бюджетов бюджетной системы Российской Федерации составили рублей  18 181 227,37 тыс. рублей при плане  19 105 907,42 тыс. рублей, выполнение составило 95,2%, темп роста к 2024 году 108,7%.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по дотациям выполнен на 100%, всего дотации поступили в сумме   1 372 802, 54 тыс. рублей, в том числе: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Дотации (гранды) бюджетам городских округов за достижение показателей деятельности органов местного самоуправления в сумме 390,60 тыс.рублей;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прочие дотации бюджетам городских округов в целях поощрения в 2025 году муниципальных управленческих команд Приморского края по итогам 2024 года в сумме 6 370,40 тыс. 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прочие дотации бюджетам городских округов в целях поощрения достижения наилучших показателей социально-экономического развития муниципальных образований Приморского края в сумме 50 000,00  тыс.рублей;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прочие дотации бюджетам городских округов (финансовое обеспечение осуществления городом Владивостоком функций административного центра Приморского края) в сумме 1 057 681,54 тыс. 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</w:t>
      </w:r>
      <w:r>
        <w:rPr>
          <w:rStyle w:val="945"/>
          <w:i w:val="0"/>
          <w:iCs w:val="0"/>
          <w:szCs w:val="28"/>
        </w:rPr>
        <w:t xml:space="preserve"> прочие дотации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</w:t>
      </w:r>
      <w:r>
        <w:rPr>
          <w:rStyle w:val="945"/>
          <w:i w:val="0"/>
          <w:iCs w:val="0"/>
          <w:szCs w:val="28"/>
        </w:rPr>
        <w:t xml:space="preserve">кого края в сумме 258 360,00 тыс.рублей.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Субсидии бюджетам бюджетной системы Российской Федерации поступили в сумме 7 053 451,84 тыс. рублей при плане 7 981 341,46 тыс. рублей, выполнение плана 88,4%, темп роста к уровню 2024 года 114,9%.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Отклонение к плану 927 889,62 тыс. рублей сложилось за счет  поступления не в полном объеме ( или непоступления) от утвержденного плана отдельных субсидий, в основном таких как: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субсидии бюджетам городских округов на софинансирование капитальных вложений в объекты муниципальной собственности в сумме</w:t>
        <w:br/>
        <w:t xml:space="preserve">466 458,73 тыс. рублей, в том числе на проектирование, строительство (реконструкцию) автомобильных дорог общего пользования нас</w:t>
      </w:r>
      <w:r>
        <w:rPr>
          <w:rStyle w:val="945"/>
          <w:i w:val="0"/>
          <w:iCs w:val="0"/>
          <w:szCs w:val="28"/>
        </w:rPr>
        <w:t xml:space="preserve">еленных пунктов за счет дорожного фонда Приморского края в сумме </w:t>
        <w:br/>
        <w:t xml:space="preserve">153 594,87 тыс. рублей, на реализацию мероприятий, источником финансового обеспечения которых являются специальные казначейские кредиты из федерального бюджета (на строительство улично-</w:t>
      </w:r>
      <w:r>
        <w:rPr>
          <w:rStyle w:val="945"/>
          <w:i w:val="0"/>
          <w:iCs w:val="0"/>
          <w:szCs w:val="28"/>
        </w:rPr>
        <w:t xml:space="preserve">дорожной сети) в сумме</w:t>
        <w:br/>
        <w:t xml:space="preserve">106 964,27 тыс. рублей,  на мероприятия по созданию и развитию системы газоснабжения муниципальных образований Приморского края </w:t>
        <w:br/>
        <w:t xml:space="preserve">(ул.2-я Шоссейна, в районе д.1а, II пусковой комплекс) в сумме </w:t>
        <w:br/>
        <w:t xml:space="preserve">123 462,66 тыс. рублей, строительство </w:t>
      </w:r>
      <w:r>
        <w:rPr>
          <w:rStyle w:val="945"/>
          <w:i w:val="0"/>
          <w:iCs w:val="0"/>
          <w:szCs w:val="28"/>
        </w:rPr>
        <w:t xml:space="preserve">и реконструкцию других объектов муниципальной собственности;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субсидии на реализацию мероприятий, источником финансового обеспечения которых являются специальные казначейские кредиты из федерального бюджета (кап.ремонт автомобильных дорог ул. Русская, </w:t>
        <w:br/>
        <w:t xml:space="preserve">ул. Адмирала Горшкова) в сумме 87 610,77 тыс. рублей;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- </w:t>
      </w:r>
      <w:r>
        <w:rPr>
          <w:rStyle w:val="945"/>
          <w:i w:val="0"/>
          <w:iCs w:val="0"/>
          <w:szCs w:val="28"/>
        </w:rPr>
        <w:t xml:space="preserve">субсидии на реализацию мероприятий, источником финансового обеспечения которых являются специальные казначейские кредиты из федерального бюджета (благоустройство территорий: «Парк культуры и отдыха им.Сергея Лазо», «Парк отдыха в Снеговой пади» ) в сумме </w:t>
        <w:br/>
      </w:r>
      <w:r>
        <w:rPr>
          <w:rStyle w:val="945"/>
          <w:i w:val="0"/>
          <w:iCs w:val="0"/>
          <w:szCs w:val="28"/>
        </w:rPr>
        <w:t xml:space="preserve">59 225, 52 тыс. рублей;</w:t>
      </w:r>
      <w:r>
        <w:rPr>
          <w:rStyle w:val="945"/>
          <w:i w:val="0"/>
          <w:iCs w:val="0"/>
          <w:szCs w:val="28"/>
        </w:rPr>
      </w:r>
      <w:r/>
    </w:p>
    <w:p>
      <w:pPr>
        <w:ind w:left="0" w:right="0" w:firstLine="709"/>
      </w:pPr>
      <w:r>
        <w:rPr>
          <w:rStyle w:val="945"/>
          <w:i w:val="0"/>
          <w:iCs w:val="0"/>
          <w:szCs w:val="28"/>
        </w:rPr>
        <w:t xml:space="preserve">- субсидии на мероприятия по энергосбережению и повышению энергетической эффективности систем коммунальной инфраструктуры Приморского края в сумме 51 000,00 тыс. рублей;</w:t>
      </w:r>
      <w:r>
        <w:rPr>
          <w:rStyle w:val="945"/>
          <w:i w:val="0"/>
          <w:iCs w:val="0"/>
          <w:szCs w:val="28"/>
        </w:rPr>
      </w:r>
      <w:r/>
    </w:p>
    <w:p>
      <w:pPr>
        <w:ind w:left="0" w:right="0" w:firstLine="709"/>
      </w:pPr>
      <w:r>
        <w:rPr>
          <w:rStyle w:val="945"/>
          <w:i w:val="0"/>
          <w:iCs w:val="0"/>
          <w:szCs w:val="28"/>
        </w:rPr>
        <w:t xml:space="preserve">- субсидии на содержание автомобильных дорог местного значения за счет дорожного фонда Приморского края в сумме 64 473,20 тыс. рублей;</w:t>
      </w:r>
      <w:r>
        <w:rPr>
          <w:rStyle w:val="945"/>
          <w:i w:val="0"/>
          <w:iCs w:val="0"/>
          <w:szCs w:val="28"/>
        </w:rPr>
      </w:r>
      <w:r/>
    </w:p>
    <w:p>
      <w:pPr>
        <w:ind w:left="0" w:right="0" w:firstLine="709"/>
      </w:pPr>
      <w:r>
        <w:rPr>
          <w:rStyle w:val="945"/>
          <w:i w:val="0"/>
          <w:iCs w:val="0"/>
          <w:szCs w:val="28"/>
        </w:rPr>
        <w:t xml:space="preserve">- субсидии на капитальный ремонт и ремонт автомобильных дорог общего пользования населенных пунктов за счет средств дорожного фонда Приморского края в сумме 49 910, 08 тыс. рублей;</w:t>
      </w:r>
      <w:r>
        <w:rPr>
          <w:rStyle w:val="945"/>
          <w:i w:val="0"/>
          <w:iCs w:val="0"/>
          <w:szCs w:val="28"/>
        </w:rPr>
      </w:r>
      <w:r/>
    </w:p>
    <w:p>
      <w:pPr>
        <w:ind w:left="0" w:right="0" w:firstLine="709"/>
      </w:pPr>
      <w:r>
        <w:rPr>
          <w:rStyle w:val="945"/>
          <w:i w:val="0"/>
          <w:iCs w:val="0"/>
          <w:szCs w:val="28"/>
        </w:rPr>
        <w:t xml:space="preserve">- субсидии на реализацию муниципальных программ по сохранению внешнего историко-архитектурного облика зданий, сооружений населенных пунктов Приморского края в сумме 108 027,80 тыс. рублей.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по субвенциям бюджетам бюджетной системы Российской Федерации выполнен на 100%, получено 9 361 522,22 тыс. рублей.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План по иным межбюджетным трансфертам выполнен на 99,5%. Поступило 393 450,76 тыс. рублей при плане 395 300, 01 тыс. рублей. </w:t>
      </w:r>
      <w:r>
        <w:rPr>
          <w:rStyle w:val="945"/>
          <w:i w:val="0"/>
          <w:iCs w:val="0"/>
          <w:szCs w:val="28"/>
        </w:rPr>
      </w:r>
      <w:r/>
    </w:p>
    <w:p>
      <w:r>
        <w:rPr>
          <w:rStyle w:val="945"/>
          <w:i w:val="0"/>
          <w:iCs w:val="0"/>
          <w:szCs w:val="28"/>
        </w:rPr>
        <w:t xml:space="preserve">Кроме того, в бюджет поступили доходы бюджетов городских округов от возврата организациями остатков субсидий прошлых лет </w:t>
        <w:br/>
        <w:t xml:space="preserve">77 464,29 тыс. рублей. </w:t>
      </w:r>
      <w:r>
        <w:rPr>
          <w:rStyle w:val="945"/>
          <w:i w:val="0"/>
          <w:iCs w:val="0"/>
          <w:szCs w:val="28"/>
        </w:rPr>
      </w:r>
      <w:r/>
    </w:p>
    <w:p>
      <w:pPr>
        <w:rPr>
          <w:rStyle w:val="945"/>
          <w:bCs w:val="0"/>
          <w:i w:val="0"/>
        </w:rPr>
      </w:pPr>
      <w:r>
        <w:rPr>
          <w:rStyle w:val="945"/>
          <w:i w:val="0"/>
          <w:iCs w:val="0"/>
          <w:szCs w:val="28"/>
        </w:rPr>
        <w:t xml:space="preserve">В 2025 году общая сумма возврата остатков субсидий, субвенций и иных межбюджетных трансфертов, имеющих целевое назначение, прошлых лет из бюджетов городских округов составила – 223 838,88  тыс. рублей</w:t>
      </w:r>
      <w:r>
        <w:rPr>
          <w:rStyle w:val="945"/>
          <w:i w:val="0"/>
          <w:iCs w:val="0"/>
          <w:szCs w:val="28"/>
        </w:rPr>
        <w:t xml:space="preserve">.</w:t>
      </w:r>
      <w:r>
        <w:rPr>
          <w:rStyle w:val="945"/>
          <w:bCs w:val="0"/>
          <w:i w:val="0"/>
        </w:rPr>
      </w:r>
      <w:r>
        <w:rPr>
          <w:rStyle w:val="945"/>
          <w:bCs w:val="0"/>
          <w:i w:val="0"/>
        </w:rPr>
      </w:r>
    </w:p>
    <w:p>
      <w:pPr>
        <w:rPr>
          <w:rStyle w:val="945"/>
          <w:i w:val="0"/>
          <w:iCs w:val="0"/>
        </w:rPr>
      </w:pPr>
      <w:r>
        <w:rPr>
          <w:i w:val="0"/>
          <w:iCs w:val="0"/>
          <w:szCs w:val="28"/>
        </w:rPr>
      </w:r>
      <w:r>
        <w:rPr>
          <w:rStyle w:val="945"/>
          <w:i w:val="0"/>
          <w:iCs w:val="0"/>
        </w:rPr>
      </w:r>
      <w:r>
        <w:rPr>
          <w:rStyle w:val="945"/>
          <w:i w:val="0"/>
          <w:iCs w:val="0"/>
        </w:rPr>
      </w:r>
    </w:p>
    <w:p>
      <w:pPr>
        <w:pStyle w:val="732"/>
        <w:ind w:firstLine="0"/>
        <w:rPr>
          <w:rStyle w:val="945"/>
          <w:i w:val="0"/>
          <w:iCs w:val="0"/>
          <w:highlight w:val="none"/>
        </w:rPr>
      </w:pPr>
      <w:r/>
      <w:bookmarkStart w:id="4" w:name="_Toc3"/>
      <w:r>
        <w:rPr>
          <w:rStyle w:val="945"/>
          <w:i w:val="0"/>
          <w:iCs w:val="0"/>
          <w:szCs w:val="28"/>
          <w:highlight w:val="none"/>
        </w:rPr>
        <w:t xml:space="preserve">3. Информация об исполнении расходной части бюджета</w:t>
      </w:r>
      <w:r>
        <w:rPr>
          <w:rStyle w:val="945"/>
          <w:i w:val="0"/>
          <w:iCs w:val="0"/>
          <w:highlight w:val="none"/>
        </w:rPr>
      </w:r>
      <w:bookmarkEnd w:id="4"/>
      <w:r>
        <w:rPr>
          <w:rStyle w:val="945"/>
          <w:i w:val="0"/>
          <w:iCs w:val="0"/>
          <w:highlight w:val="none"/>
        </w:rPr>
      </w:r>
      <w:r>
        <w:rPr>
          <w:rStyle w:val="945"/>
          <w:i w:val="0"/>
          <w:iCs w:val="0"/>
          <w:highlight w:val="none"/>
        </w:rPr>
      </w:r>
    </w:p>
    <w:p>
      <w:pPr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Согласно п. 54 Приказа Минфина России от 28.12.2010 № 191н </w:t>
      </w:r>
      <w:r>
        <w:rPr>
          <w:szCs w:val="28"/>
          <w:highlight w:val="none"/>
        </w:rPr>
        <w:t xml:space="preserve">«Об утверждении </w:t>
      </w:r>
      <w:hyperlink w:tooltip="#P45" w:anchor="P45" w:history="1">
        <w:r>
          <w:rPr>
            <w:szCs w:val="28"/>
            <w:highlight w:val="none"/>
          </w:rPr>
          <w:t xml:space="preserve">Инструкции</w:t>
        </w:r>
      </w:hyperlink>
      <w:r>
        <w:rPr>
          <w:szCs w:val="28"/>
          <w:highlight w:val="none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Российской Федерации» показатели по исполнению расходов отражаются в структуре утвержденных сводной бюджетной росписью бюджетных ассигнований и (или) лимитов бюджетных обязательств по расходам бюджета и выплатам источников финансирования дефицита бюджета.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Уточненный объем бюджетных ассигнований в части дотаций, субвенций, субсидий и иных межбюджетных трансфертов, согласно сводной бюджетной росписи по состоянию на 31.12.2025 года, имеет расхождение от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показателей объемов по тем же видам межбюджетных трансфертов, утвержденных в муниципальном правовом акте города Владивостока от 17.12.2024 № 145-МПА «О бюджете Владивостокского городского округа на 2025 год и плановый период 2026 и 2027 годов» в уточненной</w:t>
      </w:r>
      <w:r>
        <w:rPr>
          <w:szCs w:val="28"/>
          <w:highlight w:val="none"/>
        </w:rPr>
        <w:t xml:space="preserve"> </w:t>
        <w:br/>
        <w:t xml:space="preserve">редакции. 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48" w:lineRule="auto"/>
        <w:rPr>
          <w:highlight w:val="none"/>
        </w:rPr>
      </w:pPr>
      <w:r>
        <w:rPr>
          <w:szCs w:val="28"/>
          <w:highlight w:val="none"/>
        </w:rPr>
        <w:t xml:space="preserve">Данное расхождение составило «плюс» 113 874,45 тыс.рублей и сложилось по причине отсутствия возможности уточнить в муниципальном правовом акте города Владивостока от 17.12.2024 № 145-МПА «О бюджете Владивостокско</w:t>
      </w:r>
      <w:r>
        <w:rPr>
          <w:szCs w:val="28"/>
          <w:highlight w:val="none"/>
        </w:rPr>
        <w:t xml:space="preserve">го городского округа на 2025 год и плановый период 2026 и 2027 годов» соответствующие изменения объемов межбюджетных трансфертов в конце финансового года, отраженные в сводной бюджетной росписи на основании уведомлений, полученных из профильных министерств</w:t>
      </w:r>
      <w:r>
        <w:rPr>
          <w:szCs w:val="28"/>
          <w:highlight w:val="none"/>
        </w:rPr>
        <w:t xml:space="preserve"> правительства Приморского края.</w:t>
      </w:r>
      <w:r>
        <w:rPr>
          <w:highlight w:val="none"/>
        </w:rPr>
      </w:r>
      <w:r>
        <w:rPr>
          <w:highlight w:val="none"/>
        </w:rPr>
      </w:r>
    </w:p>
    <w:p>
      <w:pPr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Информация об исполнении субсидий, субвенций и иных межбюджетных трансфертов, поступивших из краевого бюджета и израсходованных </w:t>
        <w:br/>
        <w:t xml:space="preserve">в 2025 году, представлена в приложении к пояснительной записке.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i w:val="0"/>
          <w:highlight w:val="none"/>
        </w:rPr>
      </w:pPr>
      <w:r/>
      <w:bookmarkStart w:id="5" w:name="_Toc4"/>
      <w:r>
        <w:rPr>
          <w:rFonts w:ascii="Times New Roman" w:hAnsi="Times New Roman"/>
          <w:b w:val="0"/>
          <w:i w:val="0"/>
          <w:highlight w:val="none"/>
        </w:rPr>
        <w:t xml:space="preserve">3.1. Ведомственная структура расходов бюджета Владивостокского городского округа за 2025 год</w:t>
      </w:r>
      <w:r>
        <w:rPr>
          <w:rFonts w:ascii="Times New Roman" w:hAnsi="Times New Roman"/>
          <w:b w:val="0"/>
          <w:i w:val="0"/>
          <w:highlight w:val="none"/>
        </w:rPr>
      </w:r>
      <w:bookmarkEnd w:id="5"/>
      <w:r>
        <w:rPr>
          <w:rFonts w:ascii="Times New Roman" w:hAnsi="Times New Roman"/>
          <w:b w:val="0"/>
          <w:i w:val="0"/>
          <w:highlight w:val="none"/>
        </w:rPr>
      </w:r>
      <w:r>
        <w:rPr>
          <w:rFonts w:ascii="Times New Roman" w:hAnsi="Times New Roman"/>
          <w:b w:val="0"/>
          <w:i w:val="0"/>
          <w:highlight w:val="none"/>
        </w:rPr>
      </w:r>
    </w:p>
    <w:p>
      <w:pPr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Исполнение бюджета по расходам в 2025 году осуществляли 18 ГРБС и 250 муниципальных учреждений.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Наиболее крупными ГРБС (по объемам бюджетных ассигнований) являются: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- Управление по работе с муниципальными учреждениями образования администрации города Владивостока (43,06% от общих расходов </w:t>
        <w:br/>
        <w:t xml:space="preserve">бюджета);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- управление дорог администрации города Владивостока (14,30% от общих расходов бюджета);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- администрация города Владивостока (10,53% от общих расходов бюджета).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rPr>
          <w:highlight w:val="none"/>
        </w:rPr>
      </w:pPr>
      <w:r>
        <w:rPr>
          <w:szCs w:val="28"/>
          <w:highlight w:val="none"/>
        </w:rPr>
        <w:t xml:space="preserve">В целом исполнение </w:t>
      </w:r>
      <w:r>
        <w:rPr>
          <w:szCs w:val="28"/>
          <w:highlight w:val="none"/>
        </w:rPr>
        <w:t xml:space="preserve">в 2025 году </w:t>
      </w:r>
      <w:r>
        <w:rPr>
          <w:szCs w:val="28"/>
          <w:highlight w:val="none"/>
        </w:rPr>
        <w:t xml:space="preserve">по ГРБС представлено в таблице: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spacing w:line="348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5440"/>
        <w:gridCol w:w="1688"/>
        <w:gridCol w:w="1672"/>
        <w:gridCol w:w="986"/>
      </w:tblGrid>
      <w:tr>
        <w:tblPrEx/>
        <w:trPr>
          <w:trHeight w:val="300"/>
          <w:tblHeader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-108" w:right="-108"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Уточн</w:t>
            </w:r>
            <w:r>
              <w:rPr>
                <w:color w:val="000000"/>
                <w:sz w:val="24"/>
                <w:szCs w:val="24"/>
              </w:rPr>
              <w:t xml:space="preserve">енная сводная бюджетная роспись</w:t>
            </w:r>
            <w:r>
              <w:rPr>
                <w:color w:val="000000"/>
                <w:sz w:val="24"/>
                <w:szCs w:val="24"/>
              </w:rPr>
              <w:t xml:space="preserve"> (план), тыс.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58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Исполнено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%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Бюджет всего, в том числе за счет: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36 477 349,01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34 925 685,99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95,75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18 630 369,67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18 117 663,19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97,25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(без остатков и дотации)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17 846 979,34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16 808 022,81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94,18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Дума города Владивостока за счет 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189 248,21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187 924,66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Контрольно-счетная палата города Владивостока за счет 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69 312,17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69 029,98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99,59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Администрация города Владивостока всего,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3 839 613,97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3 632 351,55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94,60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3 080 443,39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3 038 705,75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98,65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759 170,58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593 645,81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78,20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38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опеки и попечительства администрации города Владивостока,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179 968,15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173 369,19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96,33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179 968,15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173 369,19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96,33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2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административно-территориальное управление островных территорий администрации города Владивостока за счет 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31 803,55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31 703,84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99,69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21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административно-территориальное управление поселка Трудовое администрации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14 840,24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14 332,01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96,58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21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общественной безопасности и взаимодействия с органами власти администрации города Владивостока,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285 343,37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282 435,54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98,98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273 887,29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271 149,39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11 456,09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11 286,15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98,52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физической культуры и спорта администрации города Владивостока,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1 033 611,56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1 032 117,57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99,86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592 016,61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590 531,82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441 594,95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441 585,76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финансов администрации города Владивостока за счет 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374 785,61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259 217,28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69,16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культуры администрации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1 023 142,57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1 022 764,67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99,96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1 002 010,77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1 001 632,88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99,96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21 131,80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21 131,80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дорог администрации города Владивостока,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5 216 203,60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4 527 554,40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86,80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2 701 337,36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2 566 685,43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95,02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2 514 866,24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1 960 868,98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77,97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содержания жилищного фонда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администрации города Владивостока,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1 832 978,05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1 595 239,84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87,03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873 944,37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852 905,11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97,59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959 033,68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742 334,74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77,40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транспорта администрации города Владивостока,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1 754 948,33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1 653 567,10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94,22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1 203 222,42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1 103 701,59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91,73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551 725,91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549 865,51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99,66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4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городской среды администрации города Владивостока,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3 186 046,64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3 079 576,61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96,66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1 163 667,38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1 132 642,59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97,33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2 022 379,25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1 946 934,01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96,27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5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муниципальной собственности г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.В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ладивостока,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821 185,89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817 897,09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99,60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718 344,89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715 299,79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99,58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102 841,00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102 597,30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002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714 833,28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673 082,36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262 655,67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220 904,84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84,10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452 177,61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452 177,52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3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градостроительства администрации города Владивостока за счет 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203 332,76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199 701,77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98,21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69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Управление по работе с муниципальными учреждениями образования администрации города Владивостока,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15 706 151,06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15 673 820,53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5 875 516,99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5 861 594,47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02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4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8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9 830 634,07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9 812 226,06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99,81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jc w:val="center"/>
        <w:spacing w:line="348" w:lineRule="auto"/>
        <w:rPr>
          <w:color w:val="000000"/>
          <w:szCs w:val="28"/>
          <w:highlight w:val="none"/>
        </w:rPr>
      </w:pPr>
      <w:r>
        <w:rPr>
          <w:color w:val="000000"/>
          <w:szCs w:val="28"/>
          <w:highlight w:val="none"/>
        </w:rPr>
      </w:r>
      <w:r>
        <w:rPr>
          <w:color w:val="000000"/>
          <w:szCs w:val="28"/>
          <w:highlight w:val="none"/>
        </w:rPr>
      </w:r>
      <w:r>
        <w:rPr>
          <w:color w:val="000000"/>
          <w:szCs w:val="28"/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i w:val="0"/>
          <w:highlight w:val="none"/>
        </w:rPr>
      </w:pPr>
      <w:r/>
      <w:bookmarkStart w:id="6" w:name="_Toc5"/>
      <w:r>
        <w:rPr>
          <w:rFonts w:ascii="Times New Roman" w:hAnsi="Times New Roman"/>
          <w:b w:val="0"/>
          <w:i w:val="0"/>
          <w:highlight w:val="none"/>
        </w:rPr>
        <w:t xml:space="preserve">3.2. Функциональная структура расходов бюджета Владивостокского городского округа за 2025 год: распределение бюджетных ассигнований по разделам, подразделам в соответствии с бюджетной классификацией</w:t>
      </w:r>
      <w:r>
        <w:rPr>
          <w:rFonts w:ascii="Times New Roman" w:hAnsi="Times New Roman"/>
          <w:b w:val="0"/>
          <w:i w:val="0"/>
          <w:highlight w:val="none"/>
        </w:rPr>
      </w:r>
      <w:bookmarkEnd w:id="6"/>
      <w:r>
        <w:rPr>
          <w:rFonts w:ascii="Times New Roman" w:hAnsi="Times New Roman"/>
          <w:b w:val="0"/>
          <w:i w:val="0"/>
          <w:highlight w:val="none"/>
        </w:rPr>
      </w:r>
      <w:r>
        <w:rPr>
          <w:rFonts w:ascii="Times New Roman" w:hAnsi="Times New Roman"/>
          <w:b w:val="0"/>
          <w:i w:val="0"/>
          <w:highlight w:val="none"/>
        </w:rPr>
      </w:r>
    </w:p>
    <w:p>
      <w:pPr>
        <w:contextualSpacing/>
        <w:spacing w:line="336" w:lineRule="auto"/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36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Наиболее приоритетными в общем объеме кассовых расходов в 2025 году стали следующие отрасли: образование – 44,28</w:t>
      </w:r>
      <w:r>
        <w:rPr>
          <w:color w:val="000000"/>
          <w:szCs w:val="28"/>
          <w:highlight w:val="none"/>
        </w:rPr>
        <w:t xml:space="preserve">%</w:t>
      </w:r>
      <w:r>
        <w:rPr>
          <w:szCs w:val="28"/>
          <w:highlight w:val="none"/>
        </w:rPr>
        <w:t xml:space="preserve">, национальная экономика – </w:t>
      </w:r>
      <w:r>
        <w:rPr>
          <w:szCs w:val="28"/>
          <w:highlight w:val="none"/>
        </w:rPr>
        <w:t xml:space="preserve">19,95</w:t>
      </w:r>
      <w:r>
        <w:rPr>
          <w:color w:val="000000"/>
          <w:szCs w:val="28"/>
          <w:highlight w:val="none"/>
        </w:rPr>
        <w:t xml:space="preserve">%</w:t>
      </w:r>
      <w:r>
        <w:rPr>
          <w:szCs w:val="28"/>
          <w:highlight w:val="none"/>
        </w:rPr>
        <w:t xml:space="preserve">, жилищно-коммунальное хозяйство – 17,81%, общегосударственные вопросы – 9,61%. 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36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Функциональная структура расходов бюджета </w:t>
      </w:r>
      <w:r>
        <w:rPr>
          <w:szCs w:val="28"/>
          <w:highlight w:val="none"/>
        </w:rPr>
        <w:t xml:space="preserve">в</w:t>
      </w:r>
      <w:r>
        <w:rPr>
          <w:szCs w:val="28"/>
          <w:highlight w:val="none"/>
        </w:rPr>
        <w:t xml:space="preserve"> 2025 год</w:t>
      </w:r>
      <w:r>
        <w:rPr>
          <w:szCs w:val="28"/>
          <w:highlight w:val="none"/>
        </w:rPr>
        <w:t xml:space="preserve">у</w:t>
      </w:r>
      <w:r>
        <w:rPr>
          <w:szCs w:val="28"/>
          <w:highlight w:val="none"/>
        </w:rPr>
        <w:t xml:space="preserve"> представлена в таблице: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5108"/>
        <w:gridCol w:w="2127"/>
        <w:gridCol w:w="1675"/>
        <w:gridCol w:w="876"/>
      </w:tblGrid>
      <w:tr>
        <w:tblPrEx/>
        <w:trPr>
          <w:trHeight w:val="850"/>
          <w:tblHeader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Наименование показателя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Уточненная сводная бюджетная роспись  (план), 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Исполнено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none"/>
              </w:rPr>
            </w:pPr>
            <w:r>
              <w:rPr>
                <w:color w:val="000000"/>
                <w:sz w:val="16"/>
                <w:szCs w:val="16"/>
                <w:highlight w:val="none"/>
              </w:rPr>
            </w:r>
            <w:r>
              <w:rPr>
                <w:color w:val="000000"/>
                <w:sz w:val="16"/>
                <w:szCs w:val="16"/>
                <w:highlight w:val="none"/>
              </w:rPr>
            </w:r>
            <w:r>
              <w:rPr>
                <w:color w:val="000000"/>
                <w:sz w:val="16"/>
                <w:szCs w:val="16"/>
                <w:highlight w:val="none"/>
              </w:rPr>
            </w:r>
          </w:p>
        </w:tc>
      </w:tr>
      <w:tr>
        <w:tblPrEx/>
        <w:trPr>
          <w:trHeight w:val="98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%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146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Расходы всего,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36 477 349,01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34 925 685,99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95,75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52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18 630 369,67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18 117 663,19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97,25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05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 (без остатков и дотации)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17 846 979,34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16 808 022,81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94,18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Общегосударственные вопросы (0100), в том числе за счет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3 505 533,24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3 358 119,34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95,79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3 340 467,83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3 194 173,62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95,62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165 065,41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163 945,73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99,32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04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Национальная безопасность и правоохранительная деятельность (0300) за счет налоговых и неналоговых </w:t>
              <w:br/>
              <w:t xml:space="preserve">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302 657,70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299 482,65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98,95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Национальная экономика (0400),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7 278 018,35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6 470 012,95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88,90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4 158 487,13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3 915 726,07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3 119 531,22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2 554 286,88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81,88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43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Жилищно-коммунальное хозяйство (0500),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6 497 233,79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5 981 944,92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92,07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2 930 372,67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2 862 359,68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97,68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3 566 861,12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3 119 585,24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87,46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Охрана окружающей среды (0600) за счет налоговых и неналоговых 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3 750,00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3 750,00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Образование (0700),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16 151 105,16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16 092 856,58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99,64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6 484 632,86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6 436 784,29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9 666 472,30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9 656 072,30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99,89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Культура, кинематография (0800),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523 915,00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522 319,27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510 206,59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508 610,85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99,69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13 708,42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13 708,42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Социальная политика (1000),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1 179 268,31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1 163 692,46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98,68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305 522,39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304 853,98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873 745,92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858 838,48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98,29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Физическая культура и спорт (1100), в том числе за счет: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1 034 365,24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1 032 137,67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99,78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налоговых и неналоговых доходов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592 770,29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590 551,92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99,63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межбюджетных трансфертов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441 594,95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441 585,76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Обслуживание государственного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(муниципального) долга (1300) за счет налоговых и неналоговых </w:t>
              <w:br/>
              <w:t xml:space="preserve">доходов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1 502,22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67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1 370,15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91,21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bCs w:val="0"/>
          <w:i w:val="0"/>
          <w:sz w:val="2"/>
          <w:szCs w:val="2"/>
          <w:highlight w:val="none"/>
        </w:rPr>
      </w:pPr>
      <w:r>
        <w:rPr>
          <w:rFonts w:ascii="Times New Roman" w:hAnsi="Times New Roman"/>
          <w:b w:val="0"/>
          <w:bCs w:val="0"/>
          <w:i w:val="0"/>
          <w:sz w:val="2"/>
          <w:szCs w:val="2"/>
          <w:highlight w:val="none"/>
        </w:rPr>
      </w:r>
      <w:r>
        <w:rPr>
          <w:rFonts w:ascii="Times New Roman" w:hAnsi="Times New Roman"/>
          <w:b w:val="0"/>
          <w:bCs w:val="0"/>
          <w:i w:val="0"/>
          <w:sz w:val="2"/>
          <w:szCs w:val="2"/>
          <w:highlight w:val="none"/>
        </w:rPr>
      </w:r>
      <w:r>
        <w:rPr>
          <w:rFonts w:ascii="Times New Roman" w:hAnsi="Times New Roman"/>
          <w:b w:val="0"/>
          <w:bCs w:val="0"/>
          <w:i w:val="0"/>
          <w:sz w:val="2"/>
          <w:szCs w:val="2"/>
          <w:highlight w:val="none"/>
        </w:rPr>
      </w:r>
    </w:p>
    <w:p>
      <w:pPr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</w:r>
    </w:p>
    <w:p>
      <w:pPr>
        <w:rPr>
          <w:rFonts w:ascii="Times New Roman" w:hAnsi="Times New Roman"/>
          <w:b w:val="0"/>
          <w:bCs w:val="0"/>
          <w:i w:val="0"/>
          <w:highlight w:val="none"/>
        </w:rPr>
      </w:pP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bCs w:val="0"/>
          <w:i w:val="0"/>
          <w:highlight w:val="none"/>
        </w:rPr>
      </w:pPr>
      <w:r/>
      <w:bookmarkStart w:id="7" w:name="_Toc6"/>
      <w:r>
        <w:rPr>
          <w:rFonts w:ascii="Times New Roman" w:hAnsi="Times New Roman"/>
          <w:b w:val="0"/>
          <w:i w:val="0"/>
          <w:highlight w:val="none"/>
        </w:rPr>
        <w:t xml:space="preserve">3.3. Структура расходов бюджета Владивостокского городского округа по видам расходов в 2025 году</w:t>
      </w:r>
      <w:r>
        <w:rPr>
          <w:rFonts w:ascii="Times New Roman" w:hAnsi="Times New Roman"/>
          <w:b w:val="0"/>
          <w:bCs w:val="0"/>
          <w:i w:val="0"/>
          <w:highlight w:val="none"/>
        </w:rPr>
      </w:r>
      <w:bookmarkEnd w:id="7"/>
      <w:r>
        <w:rPr>
          <w:rFonts w:ascii="Times New Roman" w:hAnsi="Times New Roman"/>
          <w:b w:val="0"/>
          <w:bCs w:val="0"/>
          <w:i w:val="0"/>
          <w:highlight w:val="none"/>
        </w:rPr>
      </w:r>
      <w:r>
        <w:rPr>
          <w:rFonts w:ascii="Times New Roman" w:hAnsi="Times New Roman"/>
          <w:b w:val="0"/>
          <w:bCs w:val="0"/>
          <w:i w:val="0"/>
          <w:highlight w:val="none"/>
        </w:rPr>
      </w:r>
    </w:p>
    <w:p>
      <w:pPr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widowControl w:val="off"/>
        <w:tabs>
          <w:tab w:val="left" w:pos="9356" w:leader="none"/>
        </w:tabs>
        <w:rPr>
          <w:szCs w:val="28"/>
          <w:highlight w:val="none"/>
        </w:rPr>
      </w:pPr>
      <w:r>
        <w:rPr>
          <w:szCs w:val="28"/>
          <w:highlight w:val="none"/>
        </w:rPr>
        <w:t xml:space="preserve">Приоритетными направлениями расходования бюджетных средств по видам расходов являются: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widowControl w:val="off"/>
        <w:tabs>
          <w:tab w:val="left" w:pos="9356" w:leader="none"/>
        </w:tabs>
        <w:rPr>
          <w:szCs w:val="28"/>
          <w:highlight w:val="none"/>
        </w:rPr>
      </w:pPr>
      <w:r>
        <w:rPr>
          <w:szCs w:val="28"/>
          <w:highlight w:val="none"/>
        </w:rPr>
        <w:t xml:space="preserve">- субсидии бюджетным и автономным учреждениям (вид расходов 610 и 620) – 56,50% от общих расходов бюджета;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widowControl w:val="off"/>
        <w:tabs>
          <w:tab w:val="left" w:pos="9356" w:leader="none"/>
        </w:tabs>
        <w:rPr>
          <w:szCs w:val="28"/>
          <w:highlight w:val="none"/>
        </w:rPr>
      </w:pPr>
      <w:r>
        <w:rPr>
          <w:szCs w:val="28"/>
          <w:highlight w:val="none"/>
        </w:rPr>
        <w:t xml:space="preserve">- закупки товаров, работ и услуг для обеспечения государственных (муниципальных) нужд (вид расходов 240) – 14,09% от общих расходов бюджета.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rPr>
          <w:szCs w:val="28"/>
          <w:highlight w:val="none"/>
        </w:rPr>
      </w:pPr>
      <w:r>
        <w:rPr>
          <w:szCs w:val="28"/>
          <w:highlight w:val="none"/>
        </w:rPr>
        <w:t xml:space="preserve">Объем </w:t>
      </w:r>
      <w:r>
        <w:rPr>
          <w:rFonts w:eastAsia="Calibri"/>
          <w:szCs w:val="28"/>
          <w:highlight w:val="none"/>
        </w:rPr>
        <w:t xml:space="preserve">субсидий (гра</w:t>
      </w:r>
      <w:r>
        <w:rPr>
          <w:rFonts w:eastAsia="Calibri"/>
          <w:szCs w:val="28"/>
          <w:highlight w:val="none"/>
        </w:rPr>
        <w:t xml:space="preserve">нтов в форме субсидий) юридическим лицам (за исключением субсидий муниципальным учреждениям), индивидуальным предпринимателям, физическим лицам - производителям работ, услуг и субсидий некоммерческим организациям, не являющимися муниципальными учреждениями</w:t>
      </w:r>
      <w:r>
        <w:rPr>
          <w:szCs w:val="28"/>
          <w:highlight w:val="none"/>
        </w:rPr>
        <w:t xml:space="preserve">, выделенных из бюджета Владивостокского городского округа в 2025 году </w:t>
      </w:r>
      <w:r>
        <w:rPr>
          <w:rFonts w:eastAsia="Calibri"/>
          <w:szCs w:val="28"/>
          <w:highlight w:val="none"/>
        </w:rPr>
        <w:t xml:space="preserve">(</w:t>
      </w:r>
      <w:r>
        <w:rPr>
          <w:szCs w:val="28"/>
          <w:highlight w:val="none"/>
        </w:rPr>
        <w:t xml:space="preserve">вид расходов 631, 632, 633, 811, 812, 813 и 816), </w:t>
        <w:br/>
        <w:t xml:space="preserve">составил 2 833 045,18 тыс</w:t>
      </w:r>
      <w:r>
        <w:rPr>
          <w:szCs w:val="28"/>
          <w:highlight w:val="none"/>
        </w:rPr>
        <w:t xml:space="preserve">. р</w:t>
      </w:r>
      <w:r>
        <w:rPr>
          <w:szCs w:val="28"/>
          <w:highlight w:val="none"/>
        </w:rPr>
        <w:t xml:space="preserve">ублей, исполнение – 2 554 104,44 тыс</w:t>
      </w:r>
      <w:r>
        <w:rPr>
          <w:szCs w:val="28"/>
          <w:highlight w:val="none"/>
        </w:rPr>
        <w:t xml:space="preserve">. р</w:t>
      </w:r>
      <w:r>
        <w:rPr>
          <w:szCs w:val="28"/>
          <w:highlight w:val="none"/>
        </w:rPr>
        <w:t xml:space="preserve">ублей. 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48" w:lineRule="auto"/>
        <w:widowControl w:val="off"/>
        <w:tabs>
          <w:tab w:val="left" w:pos="9356" w:leader="none"/>
        </w:tabs>
        <w:rPr>
          <w:szCs w:val="28"/>
          <w:highlight w:val="none"/>
        </w:rPr>
      </w:pPr>
      <w:r>
        <w:rPr>
          <w:szCs w:val="28"/>
          <w:highlight w:val="none"/>
        </w:rPr>
        <w:t xml:space="preserve">Информация о распределении вышеуказанных субсидий (грантов в форме субсидий) в 2025 году представлена в следующей таблице: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tbl>
      <w:tblPr>
        <w:tblW w:w="9796" w:type="dxa"/>
        <w:tblInd w:w="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02"/>
        <w:gridCol w:w="1809"/>
        <w:gridCol w:w="34"/>
        <w:gridCol w:w="1559"/>
        <w:gridCol w:w="992"/>
      </w:tblGrid>
      <w:tr>
        <w:tblPrEx/>
        <w:trPr>
          <w:trHeight w:val="651"/>
          <w:tblHeader/>
        </w:trPr>
        <w:tc>
          <w:tcPr>
            <w:shd w:val="clear" w:color="000000" w:fill="ffffff"/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Уточненная сводная бюджетная роспись  (план),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тыс. рублей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Исполнено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0"/>
          <w:tblHeader/>
        </w:trPr>
        <w:tc>
          <w:tcPr>
            <w:tcW w:w="540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gridSpan w:val="2"/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тыс. рублей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%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885"/>
        </w:trPr>
        <w:tc>
          <w:tcPr>
            <w:gridSpan w:val="5"/>
            <w:tcW w:w="97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юридическим лицам (кроме некоммерческих организаций),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индивидуальным предпринимателям, физическим лицам - производителям товаров, работ, услуг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2"/>
        </w:trPr>
        <w:tc>
          <w:tcPr>
            <w:shd w:val="clear" w:color="000000" w:fill="ffffff"/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недополученных доходов в связи с обеспечением населения Владивостокского городского округа твердым топливом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15 181,38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15 156,41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99,8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1.2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предприятиям коммунального комплекса в связи с выполнением работ по ремонту объектов коммунальной инфраструктуры, находящихся в муниципальной собственности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5 872,62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5 872,62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7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1.3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в связи с доставкой твердого топлива населению п. Русский, п. Попова,  п. Рейнеке и с. Береговое, проживающему в домах с печным отоплением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24 601,92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24 577,59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99,9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67"/>
        </w:trPr>
        <w:tc>
          <w:tcPr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4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в связи  с содержанием бани в пос. Попова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4 406,33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4 406,33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877"/>
        </w:trPr>
        <w:tc>
          <w:tcPr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по обеспечению твердым топливом семей военнослужащих и мобилизованных граждан, проживающих в домах с печным отоплением на территории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995,98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995,98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318"/>
        </w:trPr>
        <w:tc>
          <w:tcPr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на возмещение затрат в связи с текущим содержанием, техническим обслуживанием, эксплуатацией муниципальных объектов наружного освещения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518 642,60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518 642,60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17"/>
        </w:trPr>
        <w:tc>
          <w:tcPr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7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озмещение затрат в связи с текущим содержанием, техническим обслуживанием, эксплуатацией  фонтанов в городе Владивостоке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18 352,67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18 352,67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492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в связи  с организацией газоснабжения  объектов культурного наследия, находящихся в муниципальной собственности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2 700,06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1 489,22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55,2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34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9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в связи с выполнением работ по капитальному ремонту многоквартирных домов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201 213,30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181 111,24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335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0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в связи с проведением работ капитального характера по сохранению внешнего историко-архитектурного облика зданий, сооружений на территории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265 754,02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155 735,90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58,6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000000" w:fill="ffffff"/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части затрат в связи с выполнением работ по созданию условий для управления многоквартирными домами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31 514,83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17 388,61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55,2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10"/>
        </w:trPr>
        <w:tc>
          <w:tcPr>
            <w:shd w:val="clear" w:color="000000" w:fill="ffffff"/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а возмещение затрат в связи с выполнением работ по благоустройству дворовых территорий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став Дальневосточного федерального округа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323 359,93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323 359,93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84"/>
        </w:trPr>
        <w:tc>
          <w:tcPr>
            <w:shd w:val="clear" w:color="000000" w:fill="ffffff"/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3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(части затрат) в связи с выполнением работ по реализации проектов, инициируемых жителями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41 408,61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41 408,61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4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затрат (части затрат) в связи с содержанием мест (площадок) накоплений твердых коммунальных отходов на территории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28 058,96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28 043,81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99,9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000000" w:fill="ffffff"/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5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на возмещение части затрат в связи с выполнением работ по благоустройству дворовых территорий многоквартирных домов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44 873,87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44 873,87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части затрат в связи с оказанием услуг по перевозке и (или) организации перевозки пассажиров и багажа морским транспортом общего пользования на территории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73 691,20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73 174,54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99,3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441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7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недополученных доходов, возникающих в связи с регулированием органом местного самоуправления тарифов на перевозки пассажиров и багажа морским транспортом общего пользования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97 156,12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96 886,18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99,7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36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1.1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части затрат в связи с перевозкой пассажиров и багажа городским наземным электрическим транспортом и внеуличным транспортом (фуникулер)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3 233,86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3 232,87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19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19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возмещение недополученных доходов в связи с выполнением работ, оказанием услуг муниципальными унитарными предприятиями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96 075,78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96 075,78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1 797 094,03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1 650 784,75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91,9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425"/>
        </w:trPr>
        <w:tc>
          <w:tcPr>
            <w:gridSpan w:val="5"/>
            <w:tcW w:w="97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2.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(гранты в форме субсидий) юридическим лицам (кроме некоммерческих 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рганизаций),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товаров, выполнением работ, оказанием услуг, подлежащие казначейскому сопровождению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7"/>
        </w:trPr>
        <w:tc>
          <w:tcPr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.1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финансовое обеспечение затрат на капитальный ремонт объектов культурного наследия в историческом центре города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186 301,37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110 959,45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59,6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186 301,37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110 959,45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59,6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75"/>
        </w:trPr>
        <w:tc>
          <w:tcPr>
            <w:gridSpan w:val="5"/>
            <w:tcW w:w="97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3.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С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убсидии (гранты в форме субсидий)  юридическим лицам (кроме некоммерческих организаций), индивидуальным предпринимателям, физическим лицам - производителям товаров, работ, услуг на финансовое обеспечение затрат в связи с производством (реализацией) товаров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, выполнением работ, оказанием услуг, не подлежащие казначейскому сопровождению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93"/>
        </w:trPr>
        <w:tc>
          <w:tcPr>
            <w:shd w:val="clear" w:color="000000" w:fill="ffffff"/>
            <w:tcW w:w="540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3.1 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на финансовое обеспечения затрат по размещению архитектурной подсветки в рамках реализации мероприятий в соответствии с туристическим кодом центра города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73 930,75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73 930,75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91"/>
        </w:trPr>
        <w:tc>
          <w:tcPr>
            <w:tcW w:w="540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3.2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на финансовое обеспечение затрат, возникающих в связи с выполнением работ, оказанием услуг по обеспечению инженерной инфраструктурой земельных участков, предоставленных для индивидуального жилищного строительства гражданам, имеющим трех и более детей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301,29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301,29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3.3 на финансовое обеспечение  затрат предприятиям коммунального комплекса на выполнение работ по ремонту объектов коммунальной инфраструктуры, находящихся в муниципальной собственности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288 771,17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235 086,96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81,41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3.4 на финансовое обеспечение требований кредиторов в целях предупреждения банкротства и восстановления платежеспособности муниципальных унитарных предприятий города Владивостока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73 916,36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73 916,36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3.5 на финансовое обеспечение затрат на уплату лизинговых платежей по договорам финансовой аренды (лизинга)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301 594,00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301 594,00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738 513,57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55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684 829,36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92,73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80"/>
        </w:trPr>
        <w:tc>
          <w:tcPr>
            <w:gridSpan w:val="5"/>
            <w:tcW w:w="97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4.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74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4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.1 на финансовое обеспечение затрат, возникающих в связи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иципальной услуги в социальной сфере на территории Владивостокского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80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149,91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809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149,91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0,0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525"/>
        </w:trPr>
        <w:tc>
          <w:tcPr>
            <w:gridSpan w:val="5"/>
            <w:tcW w:w="97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5. Субсидии некоммерческим организациям, не являющимися муниципальными учреждениями, на возмещение недополученных доходов и (или) возмещение фактически понесенных затрат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95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5.1 на возмещение затрат (части затрат) в связи с выполнением работ по реализации проектов, инициируемых жителями города Владивостока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11 510,71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11 144,72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96,8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83"/>
        </w:trPr>
        <w:tc>
          <w:tcPr>
            <w:tcW w:w="5402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5.2 на возмещение части затрат в связи с выполнением работ по созданию условий для управления многоквартирными домами Владивостокского городского округа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3 113,09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150,62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4,8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5.3 на возмещение затрат (части затрат) в связи с содержанием мест (площадок) накоплений твердых коммунальных отходов на территории Владивостокского городского округа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876,04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876,04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5.4 на возмещение затрат в связи с выполнением работ по благоустройству дворовых террито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8 787,51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8 787,51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5.6  на 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1 257,94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1 153,50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91,7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809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25 545,28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22 112,39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86,6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gridSpan w:val="5"/>
            <w:tcW w:w="979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6. Субсидии (гранты в форме субсидий) некоммерческим организациям, не являющимися муниципальными учреждениями, на финансовое обеспечение затрат, подлежащие казначейскому сопровождению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6.1 на финансовое обеспечение затрат на капитальный ремонт объектов культурного наследия в историческом центре города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25 074,73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25 074,73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25 074,73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25 074,73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gridSpan w:val="5"/>
            <w:tcW w:w="9796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7. Субсидии (гранты в форме субсидий) некоммерческим организациям, не являющимися муниципальными учреждениями, на финансовое обеспечение затрат, не подлежащие казначейскому сопровождению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 7.1 на реализацию социальных проектов социально ориентированными некоммерческими организациями города Владивостока 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2 499,80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2 499,80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7.2  на обеспечение затрат, связанных с реализацией общественно значимых программ социально ориентированными некоммерческими организациями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2 954,36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2 931,83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99,2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7.3 на 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54 912,13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54 912,13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Итого: 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60 366,29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60 343,76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0"/>
        </w:trPr>
        <w:tc>
          <w:tcPr>
            <w:tcW w:w="5402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ВСЕГО РАСХОДОВ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2 833 045,18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1593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2 554 104,44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90,2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ind w:firstLine="708"/>
        <w:rPr>
          <w:color w:val="000000"/>
          <w:szCs w:val="28"/>
        </w:rPr>
      </w:pPr>
      <w:r>
        <w:rPr>
          <w:color w:val="000000"/>
          <w:szCs w:val="28"/>
        </w:rPr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rPr>
          <w:color w:val="000000"/>
          <w:szCs w:val="28"/>
          <w:highlight w:val="none"/>
        </w:rPr>
      </w:pPr>
      <w:r>
        <w:rPr>
          <w:color w:val="000000"/>
          <w:szCs w:val="28"/>
          <w:highlight w:val="none"/>
        </w:rPr>
        <w:t xml:space="preserve">Исполн</w:t>
      </w:r>
      <w:r>
        <w:rPr>
          <w:color w:val="000000"/>
          <w:szCs w:val="28"/>
          <w:highlight w:val="none"/>
        </w:rPr>
        <w:t xml:space="preserve">ение</w:t>
      </w:r>
      <w:r>
        <w:rPr>
          <w:color w:val="000000"/>
          <w:szCs w:val="28"/>
          <w:highlight w:val="none"/>
        </w:rPr>
        <w:t xml:space="preserve"> бюджета Владивостокского городского округа </w:t>
        <w:br/>
        <w:t xml:space="preserve">в части субсидий бюджетным и автономным учреждениям, включая </w:t>
        <w:br/>
        <w:t xml:space="preserve">субсидии на возмещение нормативных затрат, связанных с </w:t>
        <w:br/>
        <w:t xml:space="preserve">оказанием ими муниципальных услуг (выполнением работ) физическим </w:t>
        <w:br/>
        <w:t xml:space="preserve">и (или) юридическим лицам, </w:t>
      </w:r>
      <w:r>
        <w:rPr>
          <w:color w:val="000000"/>
          <w:szCs w:val="28"/>
          <w:highlight w:val="none"/>
        </w:rPr>
        <w:t xml:space="preserve">в 2025 году </w:t>
      </w:r>
      <w:r>
        <w:rPr>
          <w:color w:val="000000"/>
          <w:szCs w:val="28"/>
          <w:highlight w:val="none"/>
        </w:rPr>
        <w:t xml:space="preserve">представлено в следующей </w:t>
        <w:br/>
        <w:t xml:space="preserve">таблице (данные субсидии отражены в бюджете по виду расходов</w:t>
        <w:br/>
        <w:t xml:space="preserve"> 610, 620):</w:t>
      </w:r>
      <w:r>
        <w:rPr>
          <w:color w:val="000000"/>
          <w:szCs w:val="28"/>
          <w:highlight w:val="none"/>
        </w:rPr>
      </w:r>
      <w:r>
        <w:rPr>
          <w:color w:val="000000"/>
          <w:szCs w:val="28"/>
          <w:highlight w:val="none"/>
        </w:rPr>
      </w:r>
    </w:p>
    <w:tbl>
      <w:tblPr>
        <w:tblW w:w="9798" w:type="dxa"/>
        <w:tblInd w:w="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430"/>
        <w:gridCol w:w="1673"/>
        <w:gridCol w:w="1774"/>
        <w:gridCol w:w="921"/>
      </w:tblGrid>
      <w:tr>
        <w:tblPrEx/>
        <w:trPr>
          <w:trHeight w:val="525"/>
          <w:tblHeader/>
        </w:trPr>
        <w:tc>
          <w:tcPr>
            <w:shd w:val="clear" w:color="000000" w:fill="ffffff"/>
            <w:tcW w:w="543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Наименование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Уточненная сводная бюджетная роспись (план), тыс. рублей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shd w:val="clear" w:color="000000" w:fill="ffffff"/>
            <w:tcW w:w="2695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Исполнено 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525"/>
          <w:tblHeader/>
        </w:trPr>
        <w:tc>
          <w:tcPr>
            <w:tcW w:w="543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W w:w="1673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%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265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бюджетным учреждениям, в т.ч.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19 466 155,63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19 324 661,83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99,27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549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16 233 732,37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16 212 391,67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99,87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бюджетным учреждениям на иные цели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2 925 535,75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2 805 382,66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95,89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30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306 887,50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306 887,50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автономным учреждениям, в т.ч.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1 033 433,01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1 032 293,60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99,89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939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320 188,01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320 188,01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автономным учреждениям на иные цели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370 125,16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368 985,75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99,69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000000" w:fill="ffffff"/>
            <w:tcW w:w="5430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343 119,84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343 119,84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100,00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W w:w="5430" w:type="dxa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Субсидии всего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673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20 499 588,64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1774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20 356 955,43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000000" w:fill="ffffff"/>
            <w:tcW w:w="921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right"/>
              <w:spacing w:line="240" w:lineRule="auto"/>
              <w:rPr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99,30</w:t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i w:val="0"/>
          <w:sz w:val="28"/>
          <w:szCs w:val="28"/>
          <w:highlight w:val="none"/>
        </w:rPr>
      </w:pPr>
      <w:r>
        <w:rPr>
          <w:sz w:val="28"/>
          <w:szCs w:val="28"/>
        </w:rPr>
      </w:r>
      <w:bookmarkStart w:id="8" w:name="_Toc7"/>
      <w:r>
        <w:rPr>
          <w:rFonts w:ascii="Times New Roman" w:hAnsi="Times New Roman"/>
          <w:b w:val="0"/>
          <w:i w:val="0"/>
          <w:sz w:val="28"/>
          <w:szCs w:val="28"/>
          <w:highlight w:val="none"/>
        </w:rPr>
        <w:t xml:space="preserve">3.4. Информация о расходах на исполнение судебных актов по искам к Владивостокскому городскому округу</w:t>
      </w:r>
      <w:r>
        <w:rPr>
          <w:rFonts w:ascii="Times New Roman" w:hAnsi="Times New Roman"/>
          <w:b w:val="0"/>
          <w:i w:val="0"/>
          <w:sz w:val="28"/>
          <w:szCs w:val="28"/>
          <w:highlight w:val="none"/>
        </w:rPr>
      </w:r>
      <w:bookmarkEnd w:id="8"/>
      <w:r>
        <w:rPr>
          <w:rFonts w:ascii="Times New Roman" w:hAnsi="Times New Roman"/>
          <w:b w:val="0"/>
          <w:i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i w:val="0"/>
          <w:sz w:val="28"/>
          <w:szCs w:val="28"/>
          <w:highlight w:val="none"/>
        </w:rPr>
      </w:r>
    </w:p>
    <w:p>
      <w:pPr>
        <w:contextualSpacing/>
        <w:ind w:firstLine="708"/>
        <w:rPr>
          <w:color w:val="000000"/>
          <w:sz w:val="28"/>
          <w:szCs w:val="28"/>
          <w:highlight w:val="none"/>
        </w:rPr>
      </w:pP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25 году в Управление финансов администрации города Владивостока поступило 545 исполнительных документов (исполнительные листы, </w:t>
        <w:br/>
        <w:t xml:space="preserve">судебные приказы) о взыскании денежных средств с бюджета Владивосток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ского городского округа на общую сумму  </w:t>
        <w:br/>
        <w:t xml:space="preserve">228 879,56 тыс. руб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лей.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Кроме того, по состоянию на 01.01.2025 на исполнении у должников находилось 44 исполнительных листа на общую сумму 20 652,01 тыс. рублей, неисполненных в 2024 году (переходящий остаток).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Исполнительные листы в количестве 103 шт. на общую сумму  42 529,94 тыс. рублей возвращены взыскателям в связи с нарушением действующего законодательства.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Итого в 2025 году принято к исполнению 486 исполнительных документов (исполнительные листы, судебные приказы) на общую сумму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  <w:br/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207 001,63 тыс. рублей.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Оплачено в полном объеме в 2025 году 467 исполнительных документов на общую сумму 198 795,10 тыс. рублей.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Также оплачено 14 исполнительных листов за счет уменьшения доходной части бюджета (исполнительные листы к Управлению муниципальной собственностью г. Владивостока – неосновательное обогащение) на сумму </w:t>
        <w:br/>
        <w:t xml:space="preserve">47 081,67 тыс. рублей.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Исполнительные документы в количестве 19 шт. на общую сумму 8 206,53 тыс. рублей, направленные должникам для исполнения, не были исполнены в текущем году.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Исполнительные листы, судебные приказы, направленные должникам для оплаты, исполнены в сроки, установленные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i w:val="0"/>
          <w:highlight w:val="none"/>
        </w:rPr>
      </w:pPr>
      <w:r/>
      <w:bookmarkStart w:id="9" w:name="_Toc8"/>
      <w:r>
        <w:rPr>
          <w:rFonts w:ascii="Times New Roman" w:hAnsi="Times New Roman"/>
          <w:b w:val="0"/>
          <w:i w:val="0"/>
          <w:highlight w:val="none"/>
        </w:rPr>
        <w:t xml:space="preserve">3.5. Программная и непрограммная части расходов бюджета Владивостокского городского округа на 2025 год</w:t>
      </w:r>
      <w:r>
        <w:rPr>
          <w:rFonts w:ascii="Times New Roman" w:hAnsi="Times New Roman"/>
          <w:b w:val="0"/>
          <w:i w:val="0"/>
          <w:highlight w:val="none"/>
        </w:rPr>
      </w:r>
      <w:bookmarkEnd w:id="9"/>
      <w:r>
        <w:rPr>
          <w:rFonts w:ascii="Times New Roman" w:hAnsi="Times New Roman"/>
          <w:b w:val="0"/>
          <w:i w:val="0"/>
          <w:highlight w:val="none"/>
        </w:rPr>
      </w:r>
      <w:r>
        <w:rPr>
          <w:rFonts w:ascii="Times New Roman" w:hAnsi="Times New Roman"/>
          <w:b w:val="0"/>
          <w:i w:val="0"/>
          <w:highlight w:val="none"/>
        </w:rPr>
      </w:r>
    </w:p>
    <w:p>
      <w:pPr>
        <w:rPr>
          <w:szCs w:val="28"/>
          <w:highlight w:val="none"/>
        </w:rPr>
      </w:pPr>
      <w:r>
        <w:rPr>
          <w:szCs w:val="28"/>
          <w:highlight w:val="none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84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Расходование средств бюджета Владивостокского городского в 2025 году осуществлялось как в рамках муниципальных программ, так и в виде непрограммных направлений расходов.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84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Доля расходов, исполненная в рамках муниципальных программ, составляет 89,09% от общих расходов бюджета.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spacing w:line="384" w:lineRule="auto"/>
        <w:rPr>
          <w:highlight w:val="none"/>
        </w:rPr>
      </w:pPr>
      <w:r>
        <w:rPr>
          <w:szCs w:val="28"/>
          <w:highlight w:val="none"/>
        </w:rPr>
        <w:t xml:space="preserve">Структура расходов в 2025 году представлена в таблице: </w:t>
      </w:r>
      <w:r>
        <w:rPr>
          <w:highlight w:val="none"/>
        </w:rPr>
      </w:r>
      <w:r>
        <w:rPr>
          <w:highlight w:val="none"/>
        </w:rPr>
      </w:r>
    </w:p>
    <w:p>
      <w:pPr>
        <w:spacing w:line="384" w:lineRule="auto"/>
        <w:rPr>
          <w:highlight w:val="none"/>
        </w:rPr>
      </w:pPr>
      <w:r>
        <w:rPr>
          <w:szCs w:val="28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76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4093"/>
        <w:gridCol w:w="1841"/>
        <w:gridCol w:w="1701"/>
        <w:gridCol w:w="992"/>
        <w:gridCol w:w="1136"/>
      </w:tblGrid>
      <w:tr>
        <w:tblPrEx/>
        <w:trPr>
          <w:trHeight w:val="718"/>
          <w:tblHeader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Наименование показателя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Уточненная св</w:t>
            </w:r>
            <w:r>
              <w:rPr>
                <w:color w:val="000000"/>
                <w:sz w:val="24"/>
                <w:highlight w:val="none"/>
              </w:rPr>
              <w:t xml:space="preserve">одная бюджетная роспись  (план)</w:t>
            </w:r>
            <w:r>
              <w:rPr>
                <w:color w:val="000000"/>
                <w:sz w:val="24"/>
                <w:highlight w:val="none"/>
              </w:rPr>
              <w:t xml:space="preserve">,                                       тыс. рублей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Исполнено 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Доля в общих расходах, % 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14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тыс</w:t>
            </w:r>
            <w:r>
              <w:rPr>
                <w:color w:val="000000"/>
                <w:sz w:val="24"/>
                <w:highlight w:val="none"/>
              </w:rPr>
              <w:t xml:space="preserve">. р</w:t>
            </w:r>
            <w:r>
              <w:rPr>
                <w:color w:val="000000"/>
                <w:sz w:val="24"/>
                <w:highlight w:val="none"/>
              </w:rPr>
              <w:t xml:space="preserve">ублей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%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ВСЕГО РАСХОДЫ, в том числе: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36 477 349,01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34 925 685,99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95,75%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100,00%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5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за счет межбюджетных трансфертов </w:t>
            </w:r>
            <w:r>
              <w:rPr>
                <w:color w:val="000000"/>
                <w:sz w:val="24"/>
                <w:highlight w:val="none"/>
              </w:rPr>
              <w:t xml:space="preserve">(без остатков и дотации)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17 846 979,34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16 808 022,81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94,18%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48,13%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77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за счет налоговых и неналоговых доходов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18 630 369,67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18 117 663,19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97,25%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51,87%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8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Непрограммные направления деятельности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3 970 424,67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3 809 123,66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95,94%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10,91%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4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за счет межбюджетных трансфертов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604 012,61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586 484,53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97,10%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Х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за счет налоговых и неналоговых доходов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3 366 412,06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3 222 639,13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95,73%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Х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99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Расходы в рамках муниципальных программ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32 506 924,34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31 116 562,34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95,72%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89,09%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за счет межбюджетных трансфертов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17 242 966,73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16 221 538,28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94,08%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Х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3" w:type="dxa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color w:val="000000"/>
                <w:sz w:val="24"/>
                <w:highlight w:val="none"/>
              </w:rPr>
            </w:pPr>
            <w:r>
              <w:rPr>
                <w:color w:val="000000"/>
                <w:sz w:val="24"/>
                <w:highlight w:val="none"/>
              </w:rPr>
              <w:t xml:space="preserve">за счет налоговых и неналоговых доходов</w:t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84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15 263 957,61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14 895 024,06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97,58%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000000" w:fill="ffffff"/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tabs>
                <w:tab w:val="left" w:pos="85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Х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contextualSpacing/>
        <w:ind w:firstLine="708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contextualSpacing/>
        <w:spacing w:line="384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В рамках непрограммных расходов в полном объеме были исполнены у пяти ГРБС из 18-ти: </w:t>
      </w:r>
      <w:r>
        <w:rPr>
          <w:szCs w:val="28"/>
          <w:highlight w:val="none"/>
        </w:rPr>
        <w:t xml:space="preserve">Дума города Владивостока, Контрольно-счетная палата города Владивостока, Управление опеки и попечительства </w:t>
      </w:r>
      <w:r>
        <w:rPr>
          <w:szCs w:val="28"/>
          <w:highlight w:val="none"/>
        </w:rPr>
        <w:t xml:space="preserve">администрации горо</w:t>
      </w:r>
      <w:r>
        <w:rPr>
          <w:szCs w:val="28"/>
          <w:highlight w:val="none"/>
        </w:rPr>
        <w:t xml:space="preserve">да Владивостока</w:t>
      </w:r>
      <w:r>
        <w:rPr>
          <w:szCs w:val="28"/>
          <w:highlight w:val="none"/>
        </w:rPr>
        <w:t xml:space="preserve">, </w:t>
      </w:r>
      <w:r>
        <w:rPr>
          <w:szCs w:val="28"/>
          <w:highlight w:val="none"/>
        </w:rPr>
        <w:t xml:space="preserve">административно-территориальное управление поселка Трудовое администрации города Владивостока</w:t>
      </w:r>
      <w:r>
        <w:rPr>
          <w:szCs w:val="28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szCs w:val="28"/>
          <w:highlight w:val="none"/>
        </w:rPr>
        <w:t xml:space="preserve">у</w:t>
      </w:r>
      <w:r>
        <w:rPr>
          <w:szCs w:val="28"/>
          <w:highlight w:val="none"/>
        </w:rPr>
        <w:t xml:space="preserve">правление общественной безопасности и взаимодействия с органами власти администрации города Владивостока</w:t>
      </w:r>
      <w:r>
        <w:rPr>
          <w:szCs w:val="28"/>
          <w:highlight w:val="none"/>
        </w:rPr>
        <w:t xml:space="preserve">.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84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У семи ГРБС расходы в полном объеме либо приближенном к 100% исполнены в рамках муниципальных программ: управление физической культуры и спорта администрации города Владивостока, управление культуры администрации горо</w:t>
      </w:r>
      <w:r>
        <w:rPr>
          <w:szCs w:val="28"/>
          <w:highlight w:val="none"/>
        </w:rPr>
        <w:t xml:space="preserve">да Владивостока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 управление дорог </w:t>
      </w:r>
      <w:r>
        <w:rPr>
          <w:szCs w:val="28"/>
          <w:highlight w:val="none"/>
        </w:rPr>
        <w:t xml:space="preserve">администрации горо</w:t>
      </w:r>
      <w:r>
        <w:rPr>
          <w:szCs w:val="28"/>
          <w:highlight w:val="none"/>
        </w:rPr>
        <w:t xml:space="preserve">да Владивостока</w:t>
      </w:r>
      <w:r>
        <w:rPr>
          <w:szCs w:val="28"/>
          <w:highlight w:val="none"/>
        </w:rPr>
        <w:t xml:space="preserve">,</w:t>
      </w:r>
      <w:r>
        <w:rPr>
          <w:szCs w:val="28"/>
          <w:highlight w:val="none"/>
        </w:rPr>
        <w:t xml:space="preserve"> </w:t>
      </w:r>
      <w:r>
        <w:rPr>
          <w:szCs w:val="28"/>
          <w:highlight w:val="none"/>
        </w:rPr>
        <w:t xml:space="preserve">управление транспорта администрации города Владивостока</w:t>
      </w:r>
      <w:r>
        <w:rPr>
          <w:szCs w:val="28"/>
          <w:highlight w:val="none"/>
        </w:rPr>
        <w:t xml:space="preserve">, </w:t>
      </w:r>
      <w:r>
        <w:rPr>
          <w:szCs w:val="28"/>
          <w:highlight w:val="none"/>
        </w:rPr>
        <w:t xml:space="preserve">Управление муниципальной собственности г. Владивостока</w:t>
      </w:r>
      <w:r>
        <w:rPr>
          <w:szCs w:val="28"/>
          <w:highlight w:val="none"/>
        </w:rPr>
        <w:t xml:space="preserve">, </w:t>
      </w:r>
      <w:r>
        <w:rPr>
          <w:szCs w:val="28"/>
          <w:highlight w:val="none"/>
        </w:rPr>
        <w:t xml:space="preserve">управление градостроительства администрации города Владивостока, </w:t>
      </w:r>
      <w:r>
        <w:rPr>
          <w:strike w:val="0"/>
          <w:highlight w:val="none"/>
        </w:rPr>
        <w:t xml:space="preserve">Управление по работе с муниципальными учреждениями образования администрации города Владивостока</w:t>
      </w:r>
      <w:r>
        <w:rPr>
          <w:szCs w:val="28"/>
          <w:highlight w:val="none"/>
        </w:rPr>
        <w:t xml:space="preserve">. 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84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У шести ГРБС расходы исполнены как в рамках муниципальных программ, так и в рамках непрограммных расходов. 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spacing w:line="384" w:lineRule="auto"/>
        <w:rPr>
          <w:szCs w:val="28"/>
          <w:highlight w:val="none"/>
        </w:rPr>
      </w:pPr>
      <w:r>
        <w:rPr>
          <w:szCs w:val="28"/>
          <w:highlight w:val="none"/>
        </w:rPr>
        <w:t xml:space="preserve">Структура расходов </w:t>
      </w:r>
      <w:r>
        <w:rPr>
          <w:szCs w:val="28"/>
          <w:highlight w:val="none"/>
        </w:rPr>
        <w:t xml:space="preserve">по ГРБС в 2025 году </w:t>
      </w:r>
      <w:r>
        <w:rPr>
          <w:szCs w:val="28"/>
          <w:highlight w:val="none"/>
        </w:rPr>
        <w:t xml:space="preserve">представлена в следующей таблице:</w:t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contextualSpacing/>
        <w:jc w:val="right"/>
        <w:spacing w:line="240" w:lineRule="auto"/>
        <w:rPr>
          <w:sz w:val="24"/>
        </w:rPr>
      </w:pPr>
      <w:r>
        <w:rPr>
          <w:sz w:val="24"/>
        </w:rPr>
        <w:t xml:space="preserve">процент</w:t>
      </w:r>
      <w:r>
        <w:rPr>
          <w:sz w:val="24"/>
        </w:rPr>
        <w:t xml:space="preserve">ы</w:t>
      </w:r>
      <w:r>
        <w:rPr>
          <w:sz w:val="24"/>
        </w:rPr>
      </w:r>
      <w:r>
        <w:rPr>
          <w:sz w:val="24"/>
        </w:rPr>
      </w:r>
    </w:p>
    <w:tbl>
      <w:tblPr>
        <w:tblW w:w="98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028"/>
        <w:gridCol w:w="1984"/>
        <w:gridCol w:w="1808"/>
      </w:tblGrid>
      <w:tr>
        <w:tblPrEx/>
        <w:trPr>
          <w:tblHeader/>
        </w:trPr>
        <w:tc>
          <w:tcPr>
            <w:tcW w:w="602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Наименование ГРБС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contextualSpacing/>
              <w:ind w:left="-108" w:right="-108" w:firstLine="0"/>
              <w:jc w:val="center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Расходы в рамках муниципальных программ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808" w:type="dxa"/>
            <w:vAlign w:val="center"/>
            <w:textDirection w:val="lrTb"/>
            <w:noWrap w:val="false"/>
          </w:tcPr>
          <w:p>
            <w:pPr>
              <w:contextualSpacing/>
              <w:ind w:left="-108" w:right="-108" w:firstLine="0"/>
              <w:jc w:val="center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Непрограммные расходы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25"/>
        </w:trPr>
        <w:tc>
          <w:tcPr>
            <w:tcW w:w="6028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Администрация города Владивостока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34,69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65,31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2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Административно-территориальное управление </w:t>
            </w:r>
            <w:r>
              <w:rPr>
                <w:sz w:val="24"/>
                <w:highlight w:val="none"/>
              </w:rPr>
              <w:t xml:space="preserve">островных территорий администрации города Владивостока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41,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58,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2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Управление финансов администрации города Владивостока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94,39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5,61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2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90,36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9,64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28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Управление городской среды администрации города Владивостока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92,41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7,59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028" w:type="dxa"/>
            <w:vMerge w:val="restart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  <w:t xml:space="preserve">управление архитектуры и строительства объектов Владивостокского городского округа администрации города Владивостока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72,88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08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732"/>
        <w:ind w:firstLine="0"/>
        <w:spacing w:line="240" w:lineRule="auto"/>
        <w:rPr>
          <w:rStyle w:val="945"/>
          <w:i w:val="0"/>
          <w:iCs w:val="0"/>
          <w:strike w:val="0"/>
          <w:szCs w:val="28"/>
          <w:highlight w:val="none"/>
        </w:rPr>
      </w:pPr>
      <w:r/>
      <w:bookmarkStart w:id="10" w:name="_Toc9"/>
      <w:r>
        <w:rPr>
          <w:rStyle w:val="945"/>
          <w:i w:val="0"/>
          <w:iCs w:val="0"/>
          <w:strike w:val="0"/>
          <w:szCs w:val="28"/>
          <w:highlight w:val="none"/>
        </w:rPr>
        <w:t xml:space="preserve">4. Расходная часть бюджета Владивостокского городского округа за 2025 год в разрезе муниципальных программ и непрограммных направлений</w:t>
      </w:r>
      <w:r>
        <w:rPr>
          <w:rStyle w:val="945"/>
          <w:i w:val="0"/>
          <w:iCs w:val="0"/>
          <w:strike w:val="0"/>
          <w:szCs w:val="28"/>
          <w:highlight w:val="none"/>
        </w:rPr>
      </w:r>
      <w:bookmarkEnd w:id="10"/>
      <w:r>
        <w:rPr>
          <w:rStyle w:val="945"/>
          <w:i w:val="0"/>
          <w:iCs w:val="0"/>
          <w:strike w:val="0"/>
          <w:szCs w:val="28"/>
          <w:highlight w:val="none"/>
        </w:rPr>
      </w:r>
      <w:r>
        <w:rPr>
          <w:rStyle w:val="945"/>
          <w:i w:val="0"/>
          <w:iCs w:val="0"/>
          <w:strike w:val="0"/>
          <w:szCs w:val="28"/>
          <w:highlight w:val="none"/>
        </w:rPr>
      </w:r>
    </w:p>
    <w:p>
      <w:pPr>
        <w:spacing w:line="240" w:lineRule="auto"/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i w:val="0"/>
          <w:strike w:val="0"/>
          <w:highlight w:val="none"/>
        </w:rPr>
      </w:pPr>
      <w:r/>
      <w:bookmarkStart w:id="11" w:name="_Toc10"/>
      <w:r>
        <w:rPr>
          <w:rFonts w:ascii="Times New Roman" w:hAnsi="Times New Roman"/>
          <w:b w:val="0"/>
          <w:i w:val="0"/>
          <w:strike w:val="0"/>
          <w:highlight w:val="none"/>
        </w:rPr>
        <w:t xml:space="preserve">4.1. Расходы в рамках муниципальных программ</w:t>
      </w:r>
      <w:r>
        <w:rPr>
          <w:rFonts w:ascii="Times New Roman" w:hAnsi="Times New Roman"/>
          <w:b w:val="0"/>
          <w:i w:val="0"/>
          <w:strike w:val="0"/>
          <w:highlight w:val="none"/>
        </w:rPr>
      </w:r>
      <w:bookmarkEnd w:id="11"/>
      <w:r>
        <w:rPr>
          <w:rFonts w:ascii="Times New Roman" w:hAnsi="Times New Roman"/>
          <w:b w:val="0"/>
          <w:i w:val="0"/>
          <w:strike w:val="0"/>
          <w:highlight w:val="none"/>
        </w:rPr>
      </w:r>
      <w:r>
        <w:rPr>
          <w:rFonts w:ascii="Times New Roman" w:hAnsi="Times New Roman"/>
          <w:b w:val="0"/>
          <w:i w:val="0"/>
          <w:strike w:val="0"/>
          <w:highlight w:val="none"/>
        </w:rPr>
      </w:r>
    </w:p>
    <w:p>
      <w:pPr>
        <w:spacing w:line="240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734"/>
        <w:ind w:right="-57" w:firstLine="0"/>
        <w:jc w:val="center"/>
        <w:spacing w:line="240" w:lineRule="auto"/>
        <w:rPr>
          <w:strike w:val="0"/>
          <w:szCs w:val="28"/>
          <w:highlight w:val="none"/>
        </w:rPr>
      </w:pPr>
      <w:r/>
      <w:bookmarkStart w:id="12" w:name="_Toc11"/>
      <w:r>
        <w:rPr>
          <w:strike w:val="0"/>
          <w:szCs w:val="28"/>
          <w:highlight w:val="none"/>
        </w:rPr>
        <w:t xml:space="preserve">4.1.1. </w:t>
      </w:r>
      <w:r>
        <w:rPr>
          <w:strike w:val="0"/>
          <w:szCs w:val="28"/>
          <w:highlight w:val="none"/>
        </w:rPr>
        <w:t xml:space="preserve">Муниципальная программа «Спортивный Владивосток»</w:t>
      </w:r>
      <w:r>
        <w:rPr>
          <w:strike w:val="0"/>
          <w:szCs w:val="28"/>
          <w:highlight w:val="none"/>
        </w:rPr>
      </w:r>
      <w:bookmarkEnd w:id="12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921"/>
        <w:ind w:firstLine="699"/>
        <w:jc w:val="both"/>
        <w:spacing w:after="0" w:line="360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Муниципальная программа «Спортивный Владивосток» (далее – муниципальная программа) утверждена постановлением администрации города Владивостока от 20.09.2023 № 2397.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spacing w:line="336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Ответственны</w:t>
      </w:r>
      <w:r>
        <w:rPr>
          <w:strike w:val="0"/>
          <w:szCs w:val="28"/>
          <w:highlight w:val="none"/>
        </w:rPr>
        <w:t xml:space="preserve">й</w:t>
      </w:r>
      <w:r>
        <w:rPr>
          <w:strike w:val="0"/>
          <w:szCs w:val="28"/>
          <w:highlight w:val="none"/>
        </w:rPr>
        <w:t xml:space="preserve"> исполнител</w:t>
      </w:r>
      <w:r>
        <w:rPr>
          <w:strike w:val="0"/>
          <w:szCs w:val="28"/>
          <w:highlight w:val="none"/>
        </w:rPr>
        <w:t xml:space="preserve">ь</w:t>
      </w:r>
      <w:r>
        <w:rPr>
          <w:strike w:val="0"/>
          <w:szCs w:val="28"/>
          <w:highlight w:val="none"/>
        </w:rPr>
        <w:t xml:space="preserve"> муниципальной программы - </w:t>
      </w:r>
      <w:r>
        <w:rPr>
          <w:strike w:val="0"/>
          <w:szCs w:val="28"/>
          <w:highlight w:val="none"/>
        </w:rPr>
        <w:t xml:space="preserve">управление физической культуры и спорта администрации города </w:t>
        <w:br/>
        <w:t xml:space="preserve">Владивостока. 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36" w:lineRule="auto"/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в 2025 году представлена в следующей таблице:</w:t>
      </w:r>
      <w:r>
        <w:rPr>
          <w:strike w:val="0"/>
          <w:szCs w:val="28"/>
          <w:highlight w:val="none"/>
        </w:rPr>
        <w:t xml:space="preserve"> 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spacing w:line="336" w:lineRule="auto"/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spacing w:line="336" w:lineRule="auto"/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W w:w="9652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114"/>
        <w:gridCol w:w="1987"/>
        <w:gridCol w:w="1559"/>
        <w:gridCol w:w="992"/>
      </w:tblGrid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7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Уточненный план, </w:t>
            </w:r>
            <w:r>
              <w:rPr>
                <w:color w:val="000000"/>
                <w:sz w:val="24"/>
              </w:rPr>
              <w:br/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vMerge w:val="continue"/>
            <w:textDirection w:val="lrTb"/>
            <w:noWrap w:val="false"/>
          </w:tcPr>
          <w:p>
            <w:pPr>
              <w:ind w:left="-109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Расходы  по муниципальной программе всего, в том числе за счет: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1 034 365,24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1 032</w:t>
            </w:r>
            <w:r>
              <w:rPr>
                <w:sz w:val="24"/>
                <w:highlight w:val="none"/>
              </w:rPr>
              <w:t xml:space="preserve"> </w:t>
            </w:r>
            <w:r>
              <w:rPr>
                <w:sz w:val="24"/>
                <w:highlight w:val="none"/>
              </w:rPr>
              <w:t xml:space="preserve">1</w:t>
            </w:r>
            <w:r>
              <w:rPr>
                <w:sz w:val="24"/>
                <w:highlight w:val="none"/>
              </w:rPr>
              <w:t xml:space="preserve">37,67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99,78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налоговых и неналоговых доходов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592</w:t>
            </w:r>
            <w:r>
              <w:rPr>
                <w:sz w:val="24"/>
                <w:highlight w:val="none"/>
              </w:rPr>
              <w:t xml:space="preserve"> 770,29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590</w:t>
            </w:r>
            <w:r>
              <w:rPr>
                <w:sz w:val="24"/>
                <w:highlight w:val="none"/>
              </w:rPr>
              <w:t xml:space="preserve"> 551,92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99,</w:t>
            </w:r>
            <w:r>
              <w:rPr>
                <w:sz w:val="24"/>
                <w:highlight w:val="none"/>
              </w:rPr>
              <w:t xml:space="preserve">63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2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межбюджетных трансфертов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441</w:t>
            </w:r>
            <w:r>
              <w:rPr>
                <w:sz w:val="24"/>
                <w:highlight w:val="none"/>
              </w:rPr>
              <w:t xml:space="preserve"> 594,95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441 585,76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99,99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2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pStyle w:val="963"/>
              <w:spacing w:before="0" w:beforeAutospacing="0" w:after="0" w:afterAutospacing="0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 xml:space="preserve">Подпрограмма «Развитие физической культуры и спорта в городе Владивостоке»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1 034 365,24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1 032 137,67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99,78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34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pStyle w:val="963"/>
              <w:spacing w:before="0" w:beforeAutospacing="0" w:after="0" w:afterAutospacing="0"/>
              <w:rPr>
                <w:highlight w:val="none"/>
              </w:rPr>
            </w:pPr>
            <w:r>
              <w:rPr>
                <w:highlight w:val="none"/>
              </w:rPr>
              <w:t xml:space="preserve">1. </w:t>
            </w:r>
            <w:r>
              <w:rPr>
                <w:color w:val="000000"/>
                <w:highlight w:val="none"/>
              </w:rPr>
              <w:t xml:space="preserve">Муниципальный проект «Развитие спорта высших достижений»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2 001,41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1 972,45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98,55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34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2" w:type="dxa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В рамках данного мероприятия осущес</w:t>
            </w:r>
            <w:r>
              <w:rPr>
                <w:i/>
                <w:sz w:val="24"/>
                <w:highlight w:val="none"/>
              </w:rPr>
              <w:t xml:space="preserve">твлялось приобретение спортивного</w:t>
            </w:r>
            <w:r>
              <w:rPr>
                <w:i/>
                <w:sz w:val="24"/>
                <w:highlight w:val="none"/>
              </w:rPr>
              <w:t xml:space="preserve"> оборудования и инвентаря  для воспитанников </w:t>
            </w:r>
            <w:r>
              <w:rPr>
                <w:i/>
                <w:sz w:val="24"/>
                <w:highlight w:val="none"/>
              </w:rPr>
              <w:t xml:space="preserve">спортивных школ,</w:t>
            </w:r>
            <w:r>
              <w:rPr>
                <w:i/>
                <w:sz w:val="24"/>
                <w:highlight w:val="none"/>
              </w:rPr>
              <w:t xml:space="preserve"> подотчетных управлению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34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pStyle w:val="963"/>
              <w:spacing w:before="0" w:beforeAutospacing="0" w:after="0" w:afterAutospacing="0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 xml:space="preserve">2. Муниципальный проект «Создание номерного фонда, инфраструктуры и новых точек притяжения»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2 024,25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2 024,25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100,00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375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В рамках данного мероприятия приобретены арт-объекты и световые фотозоны в спортивном стиле для обустройства спортивного объекта, как туристического центра города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pStyle w:val="963"/>
              <w:spacing w:before="0" w:beforeAutospacing="0" w:after="0" w:afterAutospacing="0"/>
              <w:rPr>
                <w:highlight w:val="none"/>
              </w:rPr>
            </w:pPr>
            <w:r>
              <w:rPr>
                <w:highlight w:val="none"/>
              </w:rPr>
              <w:t xml:space="preserve">3</w:t>
            </w:r>
            <w:r>
              <w:rPr>
                <w:highlight w:val="none"/>
              </w:rPr>
              <w:t xml:space="preserve">. </w:t>
            </w:r>
            <w:r>
              <w:rPr>
                <w:color w:val="000000"/>
                <w:highlight w:val="none"/>
              </w:rPr>
              <w:t xml:space="preserve">Комплекс процессных мероприятий «Совершенствование спортивной инфраструктуры для занятий физической культурой и спортом»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559 197,49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558 463,91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99,87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color w:val="000000"/>
                <w:sz w:val="24"/>
                <w:highlight w:val="none"/>
              </w:rPr>
            </w:pPr>
            <w:r>
              <w:rPr>
                <w:i/>
                <w:color w:val="000000"/>
                <w:sz w:val="24"/>
                <w:highlight w:val="none"/>
              </w:rPr>
              <w:t xml:space="preserve">В рамках данного мероприятия осуществлялось обеспечение доступа к спортивным объектам и текущий ремонт дворовых спортивных сооружений (</w:t>
            </w:r>
            <w:r>
              <w:rPr>
                <w:i/>
                <w:color w:val="000000"/>
                <w:sz w:val="24"/>
                <w:highlight w:val="none"/>
              </w:rPr>
              <w:t xml:space="preserve">96 спортивных объектов).</w:t>
            </w:r>
            <w:r>
              <w:rPr>
                <w:i/>
                <w:color w:val="000000"/>
                <w:sz w:val="24"/>
                <w:highlight w:val="none"/>
              </w:rPr>
            </w:r>
            <w:r>
              <w:rPr>
                <w:i/>
                <w:color w:val="000000"/>
                <w:sz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Реализовывались</w:t>
            </w:r>
            <w:r>
              <w:rPr>
                <w:i/>
                <w:sz w:val="24"/>
                <w:highlight w:val="none"/>
              </w:rPr>
              <w:t xml:space="preserve"> мероприятия: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- поставка и монтаж физкультурно-оздоровительного комплекса для игровых видов спорта 45*30 м. и создание центра ГТО открытого типа на территории стадиона «Строитель» по адресу: пр-т 100 лет Владивостоку, 30д</w:t>
            </w:r>
            <w:r>
              <w:rPr>
                <w:i/>
                <w:sz w:val="24"/>
                <w:highlight w:val="none"/>
              </w:rPr>
              <w:t xml:space="preserve"> – срок исполнения продлен на 2026 год</w:t>
            </w:r>
            <w:r>
              <w:rPr>
                <w:i/>
                <w:sz w:val="24"/>
                <w:highlight w:val="none"/>
              </w:rPr>
              <w:t xml:space="preserve">;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- создание Экстрим парка на о. Русский (1 этап);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- создание 10 малобюджетных плоскостных сооружений.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pStyle w:val="963"/>
              <w:spacing w:before="0" w:beforeAutospacing="0" w:after="0" w:afterAutospacing="0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 xml:space="preserve">3. Комплекс процессных мероприятий «Создание условий, обеспечивающих возможность систематически заниматься физической культурой и спортом на территории города Владивостока»</w:t>
            </w:r>
            <w:r>
              <w:rPr>
                <w:highlight w:val="none"/>
              </w:rPr>
            </w:r>
            <w:bookmarkStart w:id="1" w:name="_GoBack"/>
            <w:r>
              <w:rPr>
                <w:highlight w:val="none"/>
              </w:rPr>
            </w:r>
            <w:bookmarkEnd w:id="1"/>
            <w:r>
              <w:rPr>
                <w:color w:val="000000"/>
                <w:highlight w:val="none"/>
              </w:rPr>
            </w:r>
            <w:r>
              <w:rPr>
                <w:color w:val="00000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449 450,78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449 441,10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100,00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color w:val="000000"/>
                <w:sz w:val="24"/>
                <w:highlight w:val="none"/>
              </w:rPr>
              <w:t xml:space="preserve">В рамках данного мероприятия осуществлялось финансирование 10 бюджетных и </w:t>
            </w:r>
            <w:r>
              <w:rPr>
                <w:i/>
                <w:color w:val="000000"/>
                <w:sz w:val="24"/>
                <w:highlight w:val="none"/>
              </w:rPr>
              <w:br/>
              <w:t xml:space="preserve">2 автономных учреждений на реализацию дополнительных образовательных программ спортивной подготовки для </w:t>
            </w:r>
            <w:r>
              <w:rPr>
                <w:i/>
                <w:sz w:val="24"/>
                <w:highlight w:val="none"/>
              </w:rPr>
              <w:t xml:space="preserve">9</w:t>
            </w:r>
            <w:r>
              <w:rPr>
                <w:i/>
                <w:sz w:val="24"/>
                <w:highlight w:val="none"/>
              </w:rPr>
              <w:t xml:space="preserve">478</w:t>
            </w:r>
            <w:r>
              <w:rPr>
                <w:i/>
                <w:color w:val="000000"/>
                <w:sz w:val="24"/>
                <w:highlight w:val="none"/>
              </w:rPr>
              <w:t xml:space="preserve"> воспитанников. Также осуществлялось проведение </w:t>
              <w:br/>
              <w:t xml:space="preserve">225 </w:t>
            </w:r>
            <w:r>
              <w:rPr>
                <w:i/>
                <w:sz w:val="24"/>
                <w:highlight w:val="none"/>
              </w:rPr>
              <w:t xml:space="preserve">официальных спортивных и физкультурных мероприятий, в которых приняло участие свыше 132 тысяч человек (молодежь, дети, студенты, ветераны)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4" w:type="dxa"/>
            <w:textDirection w:val="lrTb"/>
            <w:noWrap w:val="false"/>
          </w:tcPr>
          <w:p>
            <w:pPr>
              <w:pStyle w:val="963"/>
              <w:spacing w:before="0" w:beforeAutospacing="0" w:after="0" w:afterAutospacing="0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 xml:space="preserve">4. Комплекс процессных мероприятий «Руководство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21 691,32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20 235,97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93,29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highlight w:val="none"/>
              </w:rPr>
              <w:t xml:space="preserve">Расходы в рамках мероприятия направлены на обеспечение деятельности аппарата управления физической культуры и спорта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</w:tc>
      </w:tr>
    </w:tbl>
    <w:p>
      <w:pPr>
        <w:spacing w:line="336" w:lineRule="auto"/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4"/>
        <w:ind w:right="0" w:firstLine="0"/>
        <w:jc w:val="center"/>
        <w:rPr>
          <w:strike w:val="0"/>
          <w:szCs w:val="28"/>
          <w:highlight w:val="none"/>
        </w:rPr>
      </w:pPr>
      <w:r/>
      <w:bookmarkStart w:id="13" w:name="_Toc12"/>
      <w:r>
        <w:rPr>
          <w:strike w:val="0"/>
          <w:szCs w:val="28"/>
          <w:highlight w:val="none"/>
        </w:rPr>
        <w:t xml:space="preserve">4.1.2. </w:t>
      </w:r>
      <w:r>
        <w:rPr>
          <w:strike w:val="0"/>
          <w:szCs w:val="28"/>
          <w:highlight w:val="none"/>
        </w:rPr>
        <w:t xml:space="preserve">Муниципальная программа «Общественный транспорт Владивостока»</w:t>
      </w:r>
      <w:r>
        <w:rPr>
          <w:strike w:val="0"/>
          <w:szCs w:val="28"/>
          <w:highlight w:val="none"/>
        </w:rPr>
      </w:r>
      <w:bookmarkEnd w:id="13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contextualSpacing/>
        <w:rPr>
          <w:rFonts w:eastAsia="Calibri"/>
          <w:strike w:val="0"/>
          <w:szCs w:val="28"/>
          <w:highlight w:val="none"/>
        </w:rPr>
      </w:pPr>
      <w:r>
        <w:rPr>
          <w:rFonts w:eastAsia="Calibri"/>
          <w:strike w:val="0"/>
          <w:szCs w:val="28"/>
          <w:highlight w:val="none"/>
          <w:lang w:eastAsia="en-US"/>
        </w:rPr>
      </w: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szCs w:val="28"/>
          <w:highlight w:val="none"/>
        </w:rPr>
      </w:r>
    </w:p>
    <w:p>
      <w:pPr>
        <w:contextualSpacing/>
        <w:rPr>
          <w:rFonts w:eastAsia="Calibri"/>
          <w:strike w:val="0"/>
          <w:szCs w:val="28"/>
          <w:highlight w:val="none"/>
        </w:rPr>
      </w:pPr>
      <w:r>
        <w:rPr>
          <w:rFonts w:eastAsia="Calibri"/>
          <w:strike w:val="0"/>
          <w:szCs w:val="28"/>
          <w:highlight w:val="none"/>
          <w:lang w:eastAsia="en-US"/>
        </w:rPr>
        <w:t xml:space="preserve">Муниципальная программа «Общественный транспорт Владивостока» утверждена постановлением администрации города Владивостока от 20.09.2023 </w:t>
        <w:br/>
        <w:t xml:space="preserve">№ 2402. </w:t>
      </w: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szCs w:val="28"/>
          <w:highlight w:val="none"/>
        </w:rPr>
      </w:r>
    </w:p>
    <w:p>
      <w:pPr>
        <w:contextualSpacing/>
        <w:rPr>
          <w:rFonts w:eastAsia="Calibri"/>
          <w:strike w:val="0"/>
          <w:highlight w:val="none"/>
        </w:rPr>
      </w:pPr>
      <w:r>
        <w:rPr>
          <w:rFonts w:eastAsia="Calibri"/>
          <w:strike w:val="0"/>
          <w:szCs w:val="28"/>
          <w:highlight w:val="none"/>
          <w:lang w:eastAsia="en-US"/>
        </w:rPr>
        <w:t xml:space="preserve">Ответственный исполнитель муниципальной программы – управление транспорта администрации города Владивостока.</w:t>
      </w:r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tabs>
          <w:tab w:val="left" w:pos="85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Объем средств бюджета Владивостокского городского округа на финансирование мероприятий муниципальной программы в 202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году представлен в следующей таблице:</w:t>
      </w:r>
      <w:r/>
    </w:p>
    <w:tbl>
      <w:tblPr>
        <w:tblStyle w:val="769"/>
        <w:tblW w:w="0" w:type="auto"/>
        <w:tblInd w:w="108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42"/>
        <w:gridCol w:w="1984"/>
        <w:gridCol w:w="1559"/>
        <w:gridCol w:w="958"/>
      </w:tblGrid>
      <w:tr>
        <w:tblPrEx/>
        <w:trPr>
          <w:trHeight w:val="3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14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Источник финансирования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before="0" w:after="0"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Уточненный план </w:t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Исполнено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%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Расходы по муниципальной программе всего, в том числе </w:t>
            </w:r>
            <w:r>
              <w:rPr>
                <w:sz w:val="24"/>
              </w:rPr>
              <w:t xml:space="preserve">за счет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1 744 519,28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left="-108" w:right="-108" w:firstLine="0"/>
              <w:jc w:val="right"/>
              <w:spacing w:line="24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  <w:t xml:space="preserve"> 643 138,14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94,19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налоговых и неналоговых доходов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1 148 362,6</w:t>
            </w:r>
            <w:r>
              <w:rPr>
                <w:sz w:val="24"/>
              </w:rPr>
              <w:t xml:space="preserve">3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right="-108" w:firstLine="0"/>
              <w:jc w:val="right"/>
              <w:spacing w:line="24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1 048 841,8</w:t>
            </w:r>
            <w:r>
              <w:rPr>
                <w:sz w:val="24"/>
              </w:rPr>
              <w:t xml:space="preserve">0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91,66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межбюджетных трансфертов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551 712,9</w:t>
            </w:r>
            <w:r>
              <w:rPr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549 852,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99,6</w:t>
            </w:r>
            <w:r>
              <w:rPr>
                <w:sz w:val="24"/>
              </w:rPr>
              <w:t xml:space="preserve">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ных дотаций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 края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44 443,71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44 443,71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100,00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contextualSpacing/>
        <w:rPr>
          <w:rFonts w:eastAsia="Calibri"/>
          <w:strike w:val="0"/>
          <w:highlight w:val="none"/>
        </w:rPr>
      </w:pP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contextualSpacing/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в 2025 году представлена в следующей таблице: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W w:w="9697" w:type="dxa"/>
        <w:tblInd w:w="9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121"/>
        <w:gridCol w:w="1984"/>
        <w:gridCol w:w="2"/>
        <w:gridCol w:w="1631"/>
        <w:gridCol w:w="958"/>
      </w:tblGrid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ind w:left="-106" w:right="-108"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sz w:val="24"/>
              </w:rPr>
              <w:t xml:space="preserve">Уточненный план, </w:t>
              <w:br/>
              <w:t xml:space="preserve">тыс. рублей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92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Исполнено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center"/>
            <w:vMerge w:val="continue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ind w:left="-108" w:right="-108"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тыс. рублей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Расходы по муниципальной программе всего, в том числе: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1 744 519,28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left="-108" w:right="-108" w:firstLine="0"/>
              <w:jc w:val="right"/>
              <w:spacing w:line="240" w:lineRule="auto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  <w:t xml:space="preserve"> 643 138,14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94,19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1.1 Комплекс процессных мероприятий «Руководство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35 936,24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34 366,11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95,63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1.1.1 Обеспечение выполнения функций управления транспорта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32 544,5</w:t>
            </w: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30 974,3</w:t>
            </w:r>
            <w:r>
              <w:rPr>
                <w:sz w:val="24"/>
              </w:rPr>
              <w:t xml:space="preserve">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95,18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i/>
                <w:sz w:val="24"/>
              </w:rPr>
              <w:t xml:space="preserve">Средства направлены</w:t>
            </w:r>
            <w:r>
              <w:rPr>
                <w:sz w:val="24"/>
              </w:rPr>
              <w:t xml:space="preserve"> </w:t>
            </w:r>
            <w:r>
              <w:rPr>
                <w:bCs/>
                <w:i/>
                <w:sz w:val="24"/>
              </w:rPr>
              <w:t xml:space="preserve">на обеспечение выполнения функций управления транспорта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5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1.1.2 Возмещение затрат за пользованием гидротехническими сооружениями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left="0" w:right="0"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3 391,73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left="0" w:right="0"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3 391,73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left="0" w:right="0" w:firstLine="0"/>
              <w:jc w:val="right"/>
              <w:spacing w:line="240" w:lineRule="auto"/>
              <w:rPr>
                <w:sz w:val="24"/>
              </w:rPr>
              <w:suppressLineNumbers w:val="0"/>
            </w:pPr>
            <w:r>
              <w:rPr>
                <w:sz w:val="24"/>
              </w:rPr>
              <w:t xml:space="preserve">100,00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tabs>
                <w:tab w:val="left" w:pos="709" w:leader="none"/>
                <w:tab w:val="left" w:pos="851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Средства направлены государственному бюджетному учреждению «Хозяйственное управление Правительства Приморского края» на возмещение налога на имущество за п</w:t>
            </w:r>
            <w:r>
              <w:rPr>
                <w:bCs/>
                <w:i/>
                <w:sz w:val="24"/>
              </w:rPr>
              <w:t xml:space="preserve">ричал № 30, используемого для осуществления морских </w:t>
            </w:r>
            <w:r>
              <w:rPr>
                <w:i/>
                <w:sz w:val="24"/>
              </w:rPr>
              <w:t xml:space="preserve">пассажирских перевозок и багажа транспортом общего пользования в соответствии с договором безвозмездного использования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1.2 Комплекс процессных мероприятий «Обеспечение деятельности городского морского транспорта общего пользования»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178 247,00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177 460,40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99,56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1.2.1 Предоставление субсидий юридическим лицам (за исключением субс</w:t>
            </w:r>
            <w:r>
              <w:rPr>
                <w:sz w:val="24"/>
              </w:rPr>
              <w:t xml:space="preserve">идий муниципальным учреждениям), индивидуальным предпринимателям в целях возмещения недополученных доходов, возникающих в связи с регулированием органом местного самоуправления тарифов на перевозки пассажиров и багажа морским транспортом общего пользования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97 156,</w:t>
            </w:r>
            <w:r>
              <w:rPr>
                <w:sz w:val="24"/>
              </w:rPr>
              <w:t xml:space="preserve">12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96 886,18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99,72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ООО «Танира»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79 404,6</w:t>
            </w:r>
            <w:r>
              <w:rPr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79 134,</w:t>
            </w:r>
            <w:r>
              <w:rPr>
                <w:sz w:val="24"/>
              </w:rPr>
              <w:t xml:space="preserve">70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99,</w:t>
            </w:r>
            <w:r>
              <w:rPr>
                <w:sz w:val="24"/>
              </w:rPr>
              <w:t xml:space="preserve">66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ООО «Анвест-ДВ»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17 751,48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17 751,48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1.2.2 Предоставление субсидий юридическим лицам (за исключением субсидий муниципальны</w:t>
            </w:r>
            <w:r>
              <w:rPr>
                <w:color w:val="000000" w:themeColor="text1"/>
                <w:sz w:val="24"/>
              </w:rPr>
              <w:t xml:space="preserve">м учреждениям), индивидуальным предпринимателям в целях возмещения части затрат в связи с оказанием услуг по перевозке и (или) организации перевозки пассажиров и багажа морским транспортом общего пользования на территории Владивостокского городского округа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</w:t>
            </w:r>
            <w:r>
              <w:rPr>
                <w:color w:val="000000" w:themeColor="text1"/>
                <w:sz w:val="24"/>
              </w:rPr>
              <w:t xml:space="preserve">3</w:t>
            </w:r>
            <w:r>
              <w:rPr>
                <w:color w:val="000000" w:themeColor="text1"/>
                <w:sz w:val="24"/>
              </w:rPr>
              <w:t xml:space="preserve"> 691,2</w:t>
            </w:r>
            <w:r>
              <w:rPr>
                <w:color w:val="000000" w:themeColor="text1"/>
                <w:sz w:val="24"/>
              </w:rPr>
              <w:t xml:space="preserve">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73 174,5</w:t>
            </w:r>
            <w:r>
              <w:rPr>
                <w:color w:val="000000" w:themeColor="text1"/>
                <w:sz w:val="24"/>
              </w:rPr>
              <w:t xml:space="preserve">3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99,30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М</w:t>
            </w:r>
            <w:r>
              <w:rPr>
                <w:i/>
                <w:color w:val="000000" w:themeColor="text1"/>
                <w:sz w:val="24"/>
              </w:rPr>
              <w:t xml:space="preserve">орским транспортом выполнено 1000</w:t>
            </w:r>
            <w:r>
              <w:rPr>
                <w:i/>
                <w:color w:val="000000" w:themeColor="text1"/>
                <w:sz w:val="24"/>
              </w:rPr>
              <w:t xml:space="preserve"> рейсов и перевезено </w:t>
            </w:r>
            <w:r>
              <w:rPr>
                <w:i/>
                <w:color w:val="000000" w:themeColor="text1"/>
                <w:sz w:val="24"/>
              </w:rPr>
              <w:t xml:space="preserve">87 697</w:t>
            </w:r>
            <w:r>
              <w:rPr>
                <w:i/>
                <w:color w:val="000000" w:themeColor="text1"/>
                <w:sz w:val="24"/>
              </w:rPr>
              <w:t xml:space="preserve"> пассажиров по направлениям о. Попова, о. Рейнеке</w:t>
            </w:r>
            <w:r>
              <w:rPr>
                <w:i/>
                <w:color w:val="000000" w:themeColor="text1"/>
                <w:sz w:val="24"/>
              </w:rPr>
              <w:t xml:space="preserve">, о. Русский</w:t>
            </w:r>
            <w:r>
              <w:rPr>
                <w:i/>
                <w:color w:val="000000" w:themeColor="text1"/>
                <w:sz w:val="24"/>
              </w:rPr>
              <w:t xml:space="preserve"> и м. Песчаный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1.2.3 Выполнение работ, связанных с осуществлением перевозок автомобилей и негабаритных грузов морским транспортом по заключенным муниципальным контрактам с морскими перевозчиками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7 399,6</w:t>
            </w:r>
            <w:r>
              <w:rPr>
                <w:color w:val="000000" w:themeColor="text1"/>
                <w:sz w:val="24"/>
              </w:rPr>
              <w:t xml:space="preserve">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7 399,6</w:t>
            </w:r>
            <w:r>
              <w:rPr>
                <w:color w:val="000000" w:themeColor="text1"/>
                <w:sz w:val="24"/>
              </w:rPr>
              <w:t xml:space="preserve">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>
          <w:trHeight w:val="199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Грузовой баржей выполнено 9</w:t>
            </w:r>
            <w:r>
              <w:rPr>
                <w:i/>
                <w:color w:val="000000" w:themeColor="text1"/>
                <w:sz w:val="24"/>
              </w:rPr>
              <w:t xml:space="preserve">84</w:t>
            </w:r>
            <w:r>
              <w:rPr>
                <w:i/>
                <w:color w:val="000000" w:themeColor="text1"/>
                <w:sz w:val="24"/>
              </w:rPr>
              <w:t xml:space="preserve"> рейсов и перевезено </w:t>
            </w:r>
            <w:r>
              <w:rPr>
                <w:i/>
                <w:color w:val="000000" w:themeColor="text1"/>
                <w:sz w:val="24"/>
              </w:rPr>
              <w:t xml:space="preserve">717</w:t>
            </w:r>
            <w:r>
              <w:rPr>
                <w:i/>
                <w:color w:val="000000" w:themeColor="text1"/>
                <w:sz w:val="24"/>
              </w:rPr>
              <w:t xml:space="preserve"> транспортных средств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1.3 Комплекс процессных мероприятий «Обеспечение деятельности городского наземного электрического и внеуличного транспорта (фуникулера)»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195 629,85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184 851,50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94,49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right="-110"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1.3.1 Предоставление субсидий юридическим лицам (за </w:t>
            </w:r>
            <w:r>
              <w:rPr>
                <w:color w:val="000000" w:themeColor="text1"/>
                <w:sz w:val="24"/>
              </w:rPr>
              <w:t xml:space="preserve">исключением субсидий государственным (муниципальным) учреждениям) и индивидуальным предпринимателям в целях возмещения части затрат в связи с перевозкой пассажиров и багажа городским наземным электрическим транспортом и внеуличным транспортом (фуникулером)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3 233,8</w:t>
            </w:r>
            <w:r>
              <w:rPr>
                <w:color w:val="000000" w:themeColor="text1"/>
                <w:sz w:val="24"/>
              </w:rPr>
              <w:t xml:space="preserve">6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3 23</w:t>
            </w:r>
            <w:r>
              <w:rPr>
                <w:color w:val="000000" w:themeColor="text1"/>
                <w:sz w:val="24"/>
              </w:rPr>
              <w:t xml:space="preserve">2</w:t>
            </w:r>
            <w:r>
              <w:rPr>
                <w:color w:val="000000" w:themeColor="text1"/>
                <w:sz w:val="24"/>
              </w:rPr>
              <w:t xml:space="preserve">,8</w:t>
            </w:r>
            <w:r>
              <w:rPr>
                <w:color w:val="000000" w:themeColor="text1"/>
                <w:sz w:val="24"/>
              </w:rPr>
              <w:t xml:space="preserve">6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1.3.2 Выполнение работ, связанных с осуществлением регулярных перевозок пассажиров и багажа по регулируемым тарифам городским наземным электрическим транспортом общего пользования по заключенным муниципальным контрактам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89 143,46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78 366,10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87,91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Наземным городским электрическим транспортом </w:t>
            </w:r>
            <w:r>
              <w:rPr>
                <w:i/>
                <w:color w:val="000000" w:themeColor="text1"/>
                <w:sz w:val="24"/>
              </w:rPr>
              <w:t xml:space="preserve">выполнено </w:t>
            </w:r>
            <w:r>
              <w:rPr>
                <w:i/>
                <w:color w:val="000000" w:themeColor="text1"/>
                <w:sz w:val="24"/>
              </w:rPr>
              <w:t xml:space="preserve">156 755</w:t>
            </w:r>
            <w:r>
              <w:rPr>
                <w:i/>
                <w:color w:val="000000" w:themeColor="text1"/>
                <w:sz w:val="24"/>
              </w:rPr>
              <w:t xml:space="preserve"> рейсов  и перевезено </w:t>
            </w:r>
            <w:r>
              <w:rPr>
                <w:i/>
                <w:color w:val="000000" w:themeColor="text1"/>
                <w:sz w:val="24"/>
              </w:rPr>
              <w:t xml:space="preserve">4</w:t>
            </w:r>
            <w:r>
              <w:rPr>
                <w:i/>
                <w:color w:val="000000" w:themeColor="text1"/>
                <w:sz w:val="24"/>
              </w:rPr>
              <w:t xml:space="preserve"> 589 870</w:t>
            </w:r>
            <w:r>
              <w:rPr>
                <w:i/>
                <w:color w:val="000000" w:themeColor="text1"/>
                <w:sz w:val="24"/>
              </w:rPr>
              <w:t xml:space="preserve"> пассажиров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1.3.3 Приобретение троллейбусов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103 252,53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103 252,53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967"/>
              <w:contextualSpacing/>
              <w:ind w:left="0" w:firstLine="0"/>
              <w:jc w:val="left"/>
              <w:spacing w:after="0"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за счет средств субсидии из краевого бюджета, источником которых являются специальные казначейские кредиты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98 089,9</w:t>
            </w:r>
            <w:r>
              <w:rPr>
                <w:color w:val="000000" w:themeColor="text1"/>
                <w:sz w:val="24"/>
              </w:rPr>
              <w:t xml:space="preserve">0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98 089,9</w:t>
            </w:r>
            <w:r>
              <w:rPr>
                <w:color w:val="000000" w:themeColor="text1"/>
                <w:sz w:val="24"/>
              </w:rPr>
              <w:t xml:space="preserve">0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967"/>
              <w:contextualSpacing/>
              <w:ind w:left="0" w:firstLine="0"/>
              <w:jc w:val="left"/>
              <w:spacing w:after="0"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за счет средств местного бюджета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6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5 162,6</w:t>
            </w:r>
            <w:r>
              <w:rPr>
                <w:color w:val="000000" w:themeColor="text1"/>
                <w:sz w:val="24"/>
              </w:rPr>
              <w:t xml:space="preserve">3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5 162,6</w:t>
            </w:r>
            <w:r>
              <w:rPr>
                <w:color w:val="000000" w:themeColor="text1"/>
                <w:sz w:val="24"/>
              </w:rPr>
              <w:t xml:space="preserve">3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i/>
                <w:color w:val="ff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Заключены муниципальные контракты ООО «Торговый дом «Транс-Альфа», на поставку </w:t>
              <w:br/>
              <w:t xml:space="preserve">4 троллейбусов. Поставка осуществлена в полном объеме</w:t>
            </w:r>
            <w:r>
              <w:rPr>
                <w:i/>
                <w:color w:val="ff0000" w:themeColor="text1"/>
                <w:sz w:val="24"/>
              </w:rPr>
            </w:r>
            <w:r>
              <w:rPr>
                <w:i/>
                <w:color w:val="ff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1.4 Комплекс процессных мероприятий «Обеспечение деятельности городского автомобильного транспорта общего пользования»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754 255,11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left="-108"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668 334,44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88,61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1.4.1 Выполнение работ, связанных с осуществлением регулярных перевозок пассажиров и багажа по регулируемым тарифам городским автомобильным транспортом общего пользования по заключенным муниципальным контрактам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690 179,33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left="-108"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604 258,6</w:t>
            </w:r>
            <w:r>
              <w:rPr>
                <w:color w:val="000000" w:themeColor="text1"/>
                <w:sz w:val="24"/>
              </w:rPr>
              <w:t xml:space="preserve">8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87,55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both"/>
              <w:spacing w:line="240" w:lineRule="auto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Городским автомобильным транспортом </w:t>
            </w:r>
            <w:r>
              <w:rPr>
                <w:i/>
                <w:color w:val="000000" w:themeColor="text1"/>
                <w:sz w:val="24"/>
              </w:rPr>
              <w:t xml:space="preserve">выполнено </w:t>
            </w:r>
            <w:r>
              <w:rPr>
                <w:i/>
                <w:color w:val="000000" w:themeColor="text1"/>
                <w:sz w:val="24"/>
              </w:rPr>
              <w:t xml:space="preserve">1 073 718</w:t>
            </w:r>
            <w:r>
              <w:rPr>
                <w:i/>
                <w:color w:val="000000" w:themeColor="text1"/>
                <w:sz w:val="24"/>
              </w:rPr>
              <w:t xml:space="preserve"> рейсов и перевезено </w:t>
              <w:br/>
            </w:r>
            <w:r>
              <w:rPr>
                <w:i/>
                <w:color w:val="000000" w:themeColor="text1"/>
                <w:sz w:val="24"/>
              </w:rPr>
              <w:t xml:space="preserve">66 089 993</w:t>
            </w:r>
            <w:r>
              <w:rPr>
                <w:i/>
                <w:color w:val="000000" w:themeColor="text1"/>
                <w:sz w:val="24"/>
              </w:rPr>
              <w:t xml:space="preserve"> пассажиров.</w:t>
            </w:r>
            <w:r>
              <w:rPr>
                <w:i/>
                <w:color w:val="000000" w:themeColor="text1"/>
                <w:sz w:val="24"/>
              </w:rPr>
            </w:r>
            <w:r>
              <w:rPr>
                <w:i/>
                <w:color w:val="000000" w:themeColor="text1"/>
                <w:sz w:val="24"/>
              </w:rPr>
            </w:r>
          </w:p>
          <w:p>
            <w:pPr>
              <w:pStyle w:val="724"/>
              <w:ind w:firstLine="0"/>
              <w:jc w:val="both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Невыполнение плановых рейсов возникло как по объективным причинам: </w:t>
            </w:r>
            <w:r>
              <w:rPr>
                <w:i/>
                <w:color w:val="000000" w:themeColor="text1"/>
                <w:sz w:val="24"/>
              </w:rPr>
              <w:t xml:space="preserve">отсутствие водительского состава, </w:t>
            </w:r>
            <w:r>
              <w:rPr>
                <w:i/>
                <w:color w:val="000000" w:themeColor="text1"/>
                <w:sz w:val="24"/>
              </w:rPr>
              <w:t xml:space="preserve">неблагоприятные дорожные условия, ремонт асфальтового покрытия, плотное движение на дорогах «пробки», так и в связи с нарушением перевозчиками условий муниципальных контрактов, в основном из-за невыполнения вечерних рейсов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1.4.2 Предоставление субсидий </w:t>
            </w:r>
            <w:r>
              <w:rPr>
                <w:color w:val="000000" w:themeColor="text1"/>
                <w:sz w:val="24"/>
              </w:rPr>
              <w:t xml:space="preserve">в целях возмещения недополученных доходов муниципальным унитарным предприятиям города Владивостока в связи с выполнением работ, связанных с осуществлением регулярных перевозок пассажиров и багажа по регулируемым тарифам городским автомобильным транспортом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64 075,7</w:t>
            </w:r>
            <w:r>
              <w:rPr>
                <w:color w:val="000000" w:themeColor="text1"/>
                <w:sz w:val="24"/>
              </w:rPr>
              <w:t xml:space="preserve">8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64 075,7</w:t>
            </w:r>
            <w:r>
              <w:rPr>
                <w:color w:val="000000" w:themeColor="text1"/>
                <w:sz w:val="24"/>
              </w:rPr>
              <w:t xml:space="preserve">8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both"/>
              <w:spacing w:line="240" w:lineRule="auto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Средства направлены на предоставление субсидий МПВ «ВПОПАТ №1» на недополученные доходы в связи с выполнением работ, оказанием услуг по перевозке пассажиров и багажа автомобильным транспортом.</w:t>
            </w:r>
            <w:r>
              <w:rPr>
                <w:i/>
                <w:color w:val="000000" w:themeColor="text1"/>
                <w:sz w:val="24"/>
              </w:rPr>
            </w:r>
            <w:r>
              <w:rPr>
                <w:i/>
                <w:color w:val="000000" w:themeColor="text1"/>
                <w:sz w:val="24"/>
              </w:rPr>
            </w:r>
          </w:p>
          <w:p>
            <w:pPr>
              <w:pStyle w:val="724"/>
              <w:ind w:firstLine="0"/>
              <w:jc w:val="both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В 202</w:t>
            </w:r>
            <w:r>
              <w:rPr>
                <w:i/>
                <w:color w:val="000000" w:themeColor="text1"/>
                <w:sz w:val="24"/>
              </w:rPr>
              <w:t xml:space="preserve">5</w:t>
            </w:r>
            <w:r>
              <w:rPr>
                <w:i/>
                <w:color w:val="000000" w:themeColor="text1"/>
                <w:sz w:val="24"/>
              </w:rPr>
              <w:t xml:space="preserve"> году муниципальным городским автомобильным транспортом перевезено </w:t>
            </w:r>
            <w:r>
              <w:rPr>
                <w:i/>
                <w:color w:val="000000" w:themeColor="text1"/>
                <w:sz w:val="24"/>
              </w:rPr>
              <w:t xml:space="preserve">12 179 636 </w:t>
            </w:r>
            <w:r>
              <w:rPr>
                <w:i/>
                <w:color w:val="000000" w:themeColor="text1"/>
                <w:sz w:val="24"/>
              </w:rPr>
              <w:t xml:space="preserve"> пассажиров, выполнено </w:t>
            </w:r>
            <w:r>
              <w:rPr>
                <w:i/>
                <w:color w:val="000000" w:themeColor="text1"/>
                <w:sz w:val="24"/>
              </w:rPr>
              <w:t xml:space="preserve">171 886</w:t>
            </w:r>
            <w:r>
              <w:rPr>
                <w:i/>
                <w:color w:val="000000" w:themeColor="text1"/>
                <w:sz w:val="24"/>
              </w:rPr>
              <w:t xml:space="preserve"> рейсов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1.5 Комплекс процессных мероприятий «Обеспечение выполнение функций в области общественного транспорта»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67 866,00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67 866,00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1.5.1 Выполнение муниципального задания МБУ «АДЦ»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67 866,00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67 866,00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Средства направлены на обеспечение выполнения функций муниципального бюджетного учреждения «Автоматизированный диспетчерский центр».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</w:t>
            </w:r>
            <w:r>
              <w:rPr>
                <w:color w:val="000000" w:themeColor="text1"/>
                <w:sz w:val="24"/>
              </w:rPr>
              <w:t xml:space="preserve">6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 xml:space="preserve">Муниципальный проект </w:t>
            </w:r>
            <w:r>
              <w:rPr>
                <w:color w:val="000000" w:themeColor="text1"/>
                <w:sz w:val="24"/>
              </w:rPr>
              <w:t xml:space="preserve">«</w:t>
            </w:r>
            <w:r>
              <w:rPr>
                <w:color w:val="000000" w:themeColor="text1"/>
                <w:sz w:val="24"/>
              </w:rPr>
              <w:t xml:space="preserve">Поддержка организации транспортного обслуживани</w:t>
            </w:r>
            <w:r>
              <w:rPr>
                <w:color w:val="000000" w:themeColor="text1"/>
                <w:sz w:val="24"/>
              </w:rPr>
              <w:t xml:space="preserve">я Владивостокского городского округа, входящий в состав регионального проекта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</w:t>
            </w:r>
            <w:r>
              <w:rPr>
                <w:color w:val="000000" w:themeColor="text1"/>
                <w:sz w:val="24"/>
              </w:rPr>
              <w:t xml:space="preserve">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512 585,07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right="-108"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510 259,68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99,55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</w:t>
            </w:r>
            <w:r>
              <w:rPr>
                <w:color w:val="000000" w:themeColor="text1"/>
                <w:sz w:val="24"/>
              </w:rPr>
              <w:t xml:space="preserve">6</w:t>
            </w:r>
            <w:r>
              <w:rPr>
                <w:color w:val="000000" w:themeColor="text1"/>
                <w:sz w:val="24"/>
              </w:rPr>
              <w:t xml:space="preserve">.1 Приобретение подвижного состава пассажирского транспорта по договору лизинга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290 366,54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right="-108"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290 366,54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100,00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967"/>
              <w:contextualSpacing/>
              <w:ind w:left="0" w:firstLine="0"/>
              <w:jc w:val="left"/>
              <w:spacing w:after="0"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за счет средств субсидии из краевого бюджета, источником которых являются специальные казначейские кредиты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275 848,2</w:t>
            </w:r>
            <w:r>
              <w:rPr>
                <w:color w:val="000000" w:themeColor="text1"/>
                <w:sz w:val="24"/>
              </w:rPr>
              <w:t xml:space="preserve">2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right="-108"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275 848,22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100,00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967"/>
              <w:contextualSpacing/>
              <w:ind w:left="0" w:firstLine="0"/>
              <w:jc w:val="left"/>
              <w:spacing w:after="0"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за счет средств местного бюджета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14 518,3</w:t>
            </w:r>
            <w:r>
              <w:rPr>
                <w:color w:val="000000" w:themeColor="text1"/>
                <w:sz w:val="24"/>
              </w:rPr>
              <w:t xml:space="preserve">2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14 518,3</w:t>
            </w:r>
            <w:r>
              <w:rPr>
                <w:color w:val="000000" w:themeColor="text1"/>
                <w:sz w:val="24"/>
              </w:rPr>
              <w:t xml:space="preserve">2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100,00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both"/>
              <w:spacing w:line="240" w:lineRule="auto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Средства направлены на предоставление субсидий МПВ «ВПОПАТ № 1» на финансовое обеспечение затрат на уплату лизинговых платежей по договорам финансовой аренды (лизинга)</w:t>
            </w:r>
            <w:r>
              <w:rPr>
                <w:i/>
                <w:color w:val="000000" w:themeColor="text1"/>
                <w:sz w:val="24"/>
              </w:rPr>
            </w:r>
            <w:r>
              <w:rPr>
                <w:i/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left"/>
              <w:spacing w:line="240" w:lineRule="auto"/>
              <w:rPr>
                <w:color w:val="ff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1.</w:t>
            </w:r>
            <w:r>
              <w:rPr>
                <w:color w:val="000000" w:themeColor="text1"/>
                <w:sz w:val="24"/>
              </w:rPr>
              <w:t xml:space="preserve">6</w:t>
            </w:r>
            <w:r>
              <w:rPr>
                <w:color w:val="000000" w:themeColor="text1"/>
                <w:sz w:val="24"/>
              </w:rPr>
              <w:t xml:space="preserve">.2 Приобретение подвижного состава пассажирского транспорта общего пользования</w:t>
            </w:r>
            <w:r>
              <w:rPr>
                <w:color w:val="ff0000" w:themeColor="text1"/>
                <w:sz w:val="24"/>
              </w:rPr>
            </w:r>
            <w:r>
              <w:rPr>
                <w:color w:val="ff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222 218,53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right="-108"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219 893,14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98,95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967"/>
              <w:contextualSpacing/>
              <w:ind w:left="0" w:firstLine="0"/>
              <w:jc w:val="left"/>
              <w:spacing w:after="0"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за счет средств субсидии из краевого бюджета, источником которых являются специальные казначейские кредиты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177 774,82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right="-108"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175 914,51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98,95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21" w:type="dxa"/>
            <w:vAlign w:val="top"/>
            <w:textDirection w:val="lrTb"/>
            <w:noWrap w:val="false"/>
          </w:tcPr>
          <w:p>
            <w:pPr>
              <w:pStyle w:val="967"/>
              <w:contextualSpacing/>
              <w:ind w:left="0" w:firstLine="0"/>
              <w:jc w:val="left"/>
              <w:spacing w:after="0"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за счет средств местного бюджета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44 443,71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3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43 978,63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24"/>
              <w:contextualSpacing/>
              <w:ind w:firstLine="0"/>
              <w:jc w:val="right"/>
              <w:spacing w:line="240" w:lineRule="auto"/>
              <w:rPr>
                <w:color w:val="c7d9f1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98,95</w:t>
            </w:r>
            <w:r>
              <w:rPr>
                <w:color w:val="c7d9f1" w:themeColor="text1"/>
                <w:sz w:val="24"/>
              </w:rPr>
            </w:r>
            <w:r>
              <w:rPr>
                <w:color w:val="c7d9f1" w:themeColor="text1"/>
                <w:sz w:val="24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7" w:type="dxa"/>
            <w:vAlign w:val="top"/>
            <w:textDirection w:val="lrTb"/>
            <w:noWrap w:val="false"/>
          </w:tcPr>
          <w:p>
            <w:pPr>
              <w:pStyle w:val="724"/>
              <w:ind w:left="0" w:right="0" w:firstLine="0"/>
              <w:spacing w:line="240" w:lineRule="auto"/>
              <w:rPr>
                <w:i/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 xml:space="preserve">Заключены муниципальные контракты с ООО «ДВ Автоцентр» на поставку </w:t>
              <w:br/>
              <w:t xml:space="preserve">14 автобусов и 2 автобусов с ООО «БАС - ДВ». Поставка осуществлена в полном объеме</w:t>
            </w:r>
            <w:r>
              <w:rPr>
                <w:i/>
                <w:color w:val="000000" w:themeColor="text1"/>
                <w:sz w:val="24"/>
              </w:rPr>
            </w:r>
            <w:r>
              <w:rPr>
                <w:i/>
                <w:color w:val="000000" w:themeColor="text1"/>
                <w:sz w:val="24"/>
              </w:rPr>
            </w:r>
          </w:p>
        </w:tc>
      </w:tr>
    </w:tbl>
    <w:p>
      <w:pPr>
        <w:contextualSpacing/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0" w:firstLine="0"/>
        <w:jc w:val="center"/>
        <w:rPr>
          <w:strike w:val="0"/>
          <w:szCs w:val="28"/>
          <w:highlight w:val="none"/>
        </w:rPr>
      </w:pPr>
      <w:r/>
      <w:bookmarkStart w:id="14" w:name="_Toc13"/>
      <w:r>
        <w:rPr>
          <w:strike w:val="0"/>
          <w:szCs w:val="28"/>
          <w:highlight w:val="none"/>
        </w:rPr>
        <w:t xml:space="preserve">4.1.3. </w:t>
      </w:r>
      <w:r>
        <w:rPr>
          <w:strike w:val="0"/>
          <w:szCs w:val="28"/>
          <w:highlight w:val="none"/>
        </w:rPr>
        <w:t xml:space="preserve">Муниципальная программа «Дороги Владивостока»</w:t>
      </w:r>
      <w:r>
        <w:rPr>
          <w:strike w:val="0"/>
          <w:szCs w:val="28"/>
          <w:highlight w:val="none"/>
        </w:rPr>
      </w:r>
      <w:bookmarkEnd w:id="14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tabs>
          <w:tab w:val="left" w:pos="851" w:leader="none"/>
        </w:tabs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</w:t>
      </w:r>
      <w:r>
        <w:rPr>
          <w:rFonts w:eastAsia="Calibri"/>
          <w:strike w:val="0"/>
          <w:szCs w:val="28"/>
          <w:highlight w:val="none"/>
        </w:rPr>
        <w:t xml:space="preserve">Дороги Владивостока» (далее – муниципальная программа) </w:t>
      </w:r>
      <w:r>
        <w:rPr>
          <w:strike w:val="0"/>
          <w:szCs w:val="28"/>
          <w:highlight w:val="none"/>
        </w:rPr>
        <w:t xml:space="preserve">утверждена постановлением администрации города  Владивостока от 20.09.2023 № 2401.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contextualSpacing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Ответственный исполнитель муниципальной программы</w:t>
      </w:r>
      <w:r>
        <w:rPr>
          <w:strike w:val="0"/>
          <w:szCs w:val="28"/>
          <w:highlight w:val="none"/>
        </w:rPr>
        <w:t xml:space="preserve">:</w:t>
      </w:r>
      <w:r>
        <w:rPr>
          <w:strike w:val="0"/>
          <w:szCs w:val="28"/>
          <w:highlight w:val="none"/>
        </w:rPr>
        <w:t xml:space="preserve"> управление дорог администрации города Владивостока.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contextualSpacing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Соисполнители муниципальной программы: не предусмотрены.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tabs>
          <w:tab w:val="left" w:pos="851" w:leader="none"/>
        </w:tabs>
        <w:rPr>
          <w:strike w:val="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trike w:val="0"/>
          <w:color w:val="000000"/>
          <w:highlight w:val="none"/>
        </w:rPr>
        <w:t xml:space="preserve">Объем средств бюджета Владивостокского городского округа на финансирование мероприятий муниципальной программы в 2025 году представлен в следующей таблице: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Style w:val="769"/>
        <w:tblW w:w="0" w:type="auto"/>
        <w:tblInd w:w="9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45"/>
        <w:gridCol w:w="1984"/>
        <w:gridCol w:w="1559"/>
        <w:gridCol w:w="1091"/>
      </w:tblGrid>
      <w:tr>
        <w:tblPrEx/>
        <w:trPr>
          <w:trHeight w:val="0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45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Источник финансирования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before="0" w:after="0"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Уточненный план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, </w:t>
              <w:br/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5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Исполнено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0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%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Всего расходов, в том числе за счет: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5 027 986, 52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4 352 141,52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налоговых и неналоговых доходов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1 845 478,41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1 779 797,34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96,44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межбюджетных трансфертов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 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13 868,07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 959 870,8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77,9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ных дотаций для финансового обеспечения осуществления городом Владивостоком функций административного центра Приморского края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в том числе остатки прошлых лет)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625 730,22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473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</w:tr>
      <w:tr>
        <w:tblPrEx/>
        <w:trPr>
          <w:trHeight w:val="57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ных дотаций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42 909,82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  <w14:ligatures w14:val="none"/>
              </w:rPr>
            </w:r>
          </w:p>
        </w:tc>
      </w:tr>
    </w:tbl>
    <w:p>
      <w:pPr>
        <w:contextualSpacing/>
        <w:ind w:firstLine="709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Структура расходов муниципальной программы в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году представлена в таблице: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tbl>
      <w:tblPr>
        <w:tblW w:w="9785" w:type="dxa"/>
        <w:tblInd w:w="108" w:type="dxa"/>
        <w:tblLayout w:type="fixed"/>
        <w:tblLook w:val="0500" w:firstRow="0" w:lastRow="0" w:firstColumn="0" w:lastColumn="1" w:noHBand="0" w:noVBand="1"/>
      </w:tblPr>
      <w:tblGrid>
        <w:gridCol w:w="5176"/>
        <w:gridCol w:w="1984"/>
        <w:gridCol w:w="1525"/>
        <w:gridCol w:w="1100"/>
      </w:tblGrid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4"/>
                <w:szCs w:val="24"/>
                <w:highlight w:val="white"/>
              </w:rPr>
              <w:t xml:space="preserve">Наименование направления расходования средств</w:t>
            </w:r>
            <w:r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-108" w:right="-108"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Уточненный план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тыс. рублей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5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Исполнено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2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тыс. рублей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Расходы по муниципальной программе всего,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5 027 986,52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4 352 141,52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86,56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833"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1. Подпрограмма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«Развитие дорожной отрасли Владивостокского городского округа» всего,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5 027 986,52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4 352 141,52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86,56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Муниципальный проект «Дорожная сеть Владивостокского городского округа», входящий в состав регионального проекта «Региональная и местная дорожная сеть» (Приморский край)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300 000,00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290 992,85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97,00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863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Выполнены следующие виды работ: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85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ремонт дорог по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Жигура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Стрелочная (от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Жигура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до ул. Деревенская) – протяженностью 2,445 км/ 35 735,77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14:ligatures w14:val="none"/>
              </w:rPr>
            </w:r>
          </w:p>
          <w:p>
            <w:pPr>
              <w:contextualSpacing w:val="0"/>
              <w:ind w:left="0" w:right="0" w:firstLine="85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ремонт дороги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Басаргина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в районе дома №6а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0,12 км/4 163,20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85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ремонт дорог по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ул. Анны Щетининой (от перекрестка с ул. Адмирала Горшкова до дома № 26 по ул. Анны Щетининой)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0,71 км/6 160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baseli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Муниципальный проект «Поддержка дорожного хозяйства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ладивостокского городского округа», входящий в состав ведомственного проекта «Поддержка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1 513 294,36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1 159 500,75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76,62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hanging="34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Капитальный ремонт и ремонт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автомобильных дорог общего пользования населенных пунктов за счет дорожного фонда Приморского края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275 263,16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224 897,49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81,70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ремонт автомобильной на о. Русском от поселка Экипажный до поселка Подножье (на участке от остановки общественного транспорта «поселок КЭТ» в сторону остановки общественного транспорта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Шигино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») –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1,5 км/ 13 890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Проектирование, строительство (реконструкция) автомобильных дорог общего пользования населенных пунктов за счет дорожного фонда Приморского края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496 189,09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258 277,93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52,06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Управлением дорог администрации города Владивостока: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выплачен авансовый платеж подрядн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организаци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по объект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e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«Реконструкция перекрестка Анны Щетининой – Выселковая»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Достижение целевого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показателя запланировано на 2026 год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:vertAlign w:val="superscript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ыполнены раб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оты по капитальному строительству объекта: «Строительство дорог в поселок Русский на полуострове Саперный для обеспечения жилого поселка ЖСК «Остров» на полуострове Саперном в г. Владивостоке транспортной инфраструктурой. Корректировка городской дороги» 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1 610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:vertAlign w:val="superscript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:vertAlign w:val="superscript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:vertAlign w:val="superscript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выполнены работы по объекту: «Реконструкция и строительство линейных объектов в районе ул. Капитана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Шефнера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Всеволода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Сибирцева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Шилкинская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Славянская в городе Владивостоке»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0,50 км;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:vertAlign w:val="superscript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:vertAlign w:val="superscript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оказаны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услуги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по осуществлению строительного контроля и авторского надзора по объекту: «Реконструкция и строительство линейных объектов в районе ул. Капитана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Шефнера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Всеволода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Сибирцева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Шилкинская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ул. Славянская в городе Владивостоке».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МКУ «ЦОДД»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азработана проектно-сметная документация по объекту «Строительство мостового сооружения в районе ул. Бородинская – ул. Русская в городе Владивостоке»,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произведена оплата выполненных работ по разработке проектно-сметной документации по объекту «Строительство мостового сооружения в районе ул. Бородинская – ул. Русская в городе Владивостоке» в сумме 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тыс.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руб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за 1 этап контракта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– 1 проект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Содержание автомобильных дорог местного значения за счет дорожного фонда Приморского края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736 842,11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671 325,33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91,11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1) Выполнены следующие виды работ: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нанесение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вновь и восстановл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ение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разметки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более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20 000,00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удаление остатков старой разметки (демаркация) -1 741,63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установление барьерных столбиков – 6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установка барь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ерных ограждений свыше 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установка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свыше – 500 ед.  знаков;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устройство дорожного покрытия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аварийный ремонт, ремонт тротуаров, заделка выбоин, просадок, шелушения и других дефектов на площади свыше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55 000,00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установка пешеходных ограждений – 462 м;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окраска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пешеходных, барьерных ограждений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опорных опор, подпорной стены мостового сооружения «Мост дружбы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Тояма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-Приморье»,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окраска надземных, подземных пешеходных переходов;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восстановление поперечного профиля и ровности проезжей части;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отсыпка и профилирование -795,82м3/219,3т/10шт;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исправление повреждений, укрепление откосов автомобильной дороги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–800 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/1055,5 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текущее содержание дорожной инфраструктуры островных территорий – </w:t>
              <w:br/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6 241 698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/ 7205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/ 12326 т;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очистка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подмостовых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пространств мостовых сооружений 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1 102,15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baselin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1 564 т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устранение повреждений входных групп подземных пешеходных переходов;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устройство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новых и мелкий ремонт установленных ранее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автопавильонов на автобусных остановках;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окраска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автопавильонов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устранение дефектов (замена) отдельных элементов тротуаров, перил, ограждений;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прочистка и устранение повреждений ливневой канализации –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1 196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/3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восстановление смотровых колодцев – 148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восстановление водоотводных лотков,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дождеприемных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камер;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2) МБУ «СГТ» выполнены следующие виды работ: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устранение деформаций и повреждений (заделка выбоин, просадок, шелушения,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выкрашивания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и других дефектов) покрытий,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восстановление изношенных верхних слоев асфальтобетонных покрытий, 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ликв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идация колей глубиной до 50 мм; 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фрезерование или срезка гребней выпора и неровностей по колеям (полосам наката) с заполнением колей черным щебнем или асфальтобетоном и устройством защитного слоя на всю ширину покрытия;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восстановление земляного полотна на участках с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пучинистыми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и слабыми грунтами на площади до 100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восстановление дорожной одежды на участках с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пучинистыми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и слабыми грунтами на площади до 100 м,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устранение повреждений тротуаров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 11035,12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содержание и техническое обслуживание светофоров, дорожных знаков и других элементов, используемых при организации дорожного движения – 15 999,75 м /3 280 ед.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- содержание инженерно-транспортных сооружений – 1 251 м.2;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содержание в чистоте и порядке автомобильных дорог и тротуаров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- нанесение дорожной разметки краской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white"/>
                <w:lang w:eastAsia="ru-RU"/>
              </w:rPr>
              <w:t xml:space="preserve"> и термопластичными материалами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color w:val="000000" w:themeColor="text1"/>
                <w:sz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vMerge w:val="restart"/>
            <w:textDirection w:val="lrTb"/>
            <w:noWrap w:val="false"/>
          </w:tcPr>
          <w:p>
            <w:p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1.2.4. 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5 000,00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5 000,00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vMerge w:val="restart"/>
            <w:textDirection w:val="lrTb"/>
            <w:noWrap w:val="false"/>
          </w:tcPr>
          <w:p>
            <w:pPr>
              <w:contextualSpacing w:val="0"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Выполнены работы по разработке проектной документации и реконструкции объекта: «Реконструкция сооружения дорожного транспорта, проезд от автомобильной дороги общего пользования в пос. Русский до пос. Минка (дома № 13, 14)»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Произведена выплата авансового платежа подрядной организации. Достижение целевого показателя по проектированию объекта запланировано в 2026 году, по выполнению строительно-монтажных работ в 2027 году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hanging="34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Комплекс процессных мероприятий «Ремонт и капитальный ремонт автомобильных дорог общего пользования местного значения Владивостокского городского округа и сооружений на них»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587 692,90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437 241,76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74,40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Ремонт и капитальный ремонт автомобильных дорог общего пользования местного значения Владивостокского городского округа и сооружений на них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587 692,90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437 241,75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74,40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Выполнены следующие виды работ: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роизведена оплата выполненных в 2024 году работ на оказание услуг по осуществлению авторского надзора и строительного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контроля за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выполнением работ на объекте: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«Капитальный ремонт улично-дорожной сети в районе музейно-театрального комплекса (ул. Аксаковская, участок автомобильной дороги по ул. Гоголя, ул. Аксаковской </w:t>
              <w:br/>
              <w:t xml:space="preserve">(до пересечения с ул. Суханова), ул. Державина)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вырубка деревьев на автомобильной дороге на о. Русском от поселка Подножье до поселка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Шигино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 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участок;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осуществление строительного контроля (экспертно-лабораторного сопровождения) – 3 шт.;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ремонт проездов – 1904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ремонт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и восстановление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подпорных стен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7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ремонт асфальтобетонного покрытия дорог 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14 169,80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приёмочная диагностика участков автомобильных дорог общего пользования местного значения, на которых ранее был проведен ремонт – 1усл.ед.;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проведение инженерных изысканий, обследований участка автомобильной дороги на о. Русском – 1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ремонт, восстановление, устранение мелких повреждений на ливневой канализации и инженерных коммуникациях – 1052,5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восстановление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и ремонт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пескоулавливателей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инженерных коммуникаций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люков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лотки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дожде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приёмных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камер, смотровых колодцев каналов,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укрепление откоса и тротуарной части – 859м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МБУ «СГТ» выполнены работы по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ремонту автомобильных дорог –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13 620,00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произведен капитальный ремонт по 2 объектам: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Капитальный ремонт ул. Адмирала Горшкова на участке от ул. Майора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Филипова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до транспортной развязки Седанка 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Патрокл»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- 2 825 м;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Капитальный ремонт автомобильной дороги в районе пересечения магистральных улиц Русская и Проспект 100-летия Владивостоку»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530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Комплекс процессных мероприятий «Проектирование, строительство, реконструкция объектов муниципальной собственности»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585 186,55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477 084,81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81,53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Проектирование, строительство, реконструкция объектов муниципальной собственности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585 186,55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477 084,81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81,53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Выполнены работы: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 объекту: «Строительство улично-дорожной сети в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мкр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 «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Патрокл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». 1 пусковой комплекс» 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425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км.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 строительству транспортной развязки в районе «Зеленый угол» 1 этап протяженностью 0,897 км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оказана услуга по осуществлению строительного контроля по объекту: «Автомобильная развязка в районе территории «Зеленый угол» в городе Владивостоке» </w:t>
              <w:br/>
              <w:t xml:space="preserve">1 этап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 строительству автомобильной дороги от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Нейбута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67а, до транспортной развязки «Зеленый угол» на автодороге  п-ов Де-Фриз - ст. Седанка - б.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Патрокл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в г. Владивостоке - I этап протяженностью - 0,928 км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 осуществлению строительного контроля и авторского надзора при строительстве объекта: «Строительство автомобильной дороги от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Нейбута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67а, до транспортной развязки «Зеленый угол» на автодороге п-ов Де-Фриз – ст. Седанка – б.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Патрокл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в г. Владивостоке – I этап».-2 услуги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по подготовке документации по пла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ировке территории в части разработки проекта планировки территории и проекта межевания территории для размещения линейного объекта транспортной инфраструктуры на участке от ул. Батарейной, 6а до </w:t>
              <w:br/>
              <w:t xml:space="preserve">ул. Татарской, 11 стр. 2 в городе Владивостоке – разработан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 проект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осуществлено технологическое присоединение к электрическим сетям филиала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«Приморский» АО «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Оборонэнерго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энергопринимающих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устройств освещения участка автомобильной дороги в пределах ул. Сочинская, ул. Североморская и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ул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рхангельская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 </w:t>
              <w:br/>
              <w:t xml:space="preserve">1 услуга.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Комплекс процессных мероприятий «Содержание дорожной инфраструктуры Владивостокского городского округа»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1 599 865,01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1 593 655,53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99,61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Содержание дорожной инфраструктуры Владивостокского городского округа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1 599 865,01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1 593 655,53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99,61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1) Управлением дорог администрации города Владивостока выполнены следующие виды работ: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установка сигнальных столбиков – 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ед.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освобождение проезжей части и земляного полотна от объектов, препятствующих проезду транспортных средств (эвакуация поврежденного автомобиля с места ДТП до места временного хранения);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установка элементов обустройства (светофоры) – 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ед.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текущее содержание дорожной инфраструктуры островных территорий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  <w:br/>
              <w:t xml:space="preserve">(о. Попова и о. Рейнеке, п. Береговое)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 3 255 924,43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текущее содержание дорожной инфраструктуры пос. Трудовое – 10 754 249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/ 301,97 т / 5410 шт / 66 573,7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очистка от граффити, инородных наслоений, загрязнений подпорных стен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4 974,12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/ 415 кг;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окраска элементов дорожного сооружения общего пользования (подземный переход) – 88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/ 3,45 кг;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окраска подпорных стен – 2 216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/ 0,51 т / 155,12 кг;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диагностика и паспортизация автомобильных дорог 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диагностика, паспортизация и разработка проектов организации дорожного движения на автомобильных дорогах – 1 шт;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устранение повреждений покрытия тротуаров – 53,1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очистка от растительности откосов - 1 объект (ул. Выселковая);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замена вышедших из строя элементов электроосвещения – 1 объект (в районе проспекта 100-летия Владивостока № 36 - 43, 47 - 46);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технологическое присоединение к электрической сети – 2 объекта </w:t>
              <w:br/>
              <w:t xml:space="preserve">(по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Мордовцева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);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расчистка системы водоотведения – 487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2) МКУ «ЦОДД» выполнены следующие виды работ: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установка технических средств организации дорожного движения – 37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демонтаж разборных и неразборных светофорных опор, дорожных светофоров и кабеля – 41 шт;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поставка технических средств организации дорожного движения – 18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содержание дорожной инфраструктуры на территории ВГО и установка технических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средств организации дорожного движения - 427;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поставка запасных частей для светофорного оборудования – 70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установка элементов интеллектуальных транспортных систем (Табло переменой информации) – 3шт;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установка специальных технических средств, работающих в автоматическом режиме и имеющих функции фото- и киносъемки, видеозаписи для фиксации нарушений правил дорожного движения – 30 шт.;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поставка столбиков сигнальных дорожных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световозвращающих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– 100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ед.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поставка опор дорожных – 32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bCs/>
                <w:i/>
                <w:iCs/>
                <w:sz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окрашивание климатических шкафов для систем видеонаблюдения - 5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3) МБУ «СГТ» выданы субсидии на финансовое обеспечение государственного (муниципального) задания на оказание государственных (муниципальных) услуг (выполнение работ),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выполнены следующие виды работ: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 содержанию автомобильных дорог ВГО -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827 960,70 м;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 содержанию и техническому обслуживанию светофоров, дорожных знаков и других элементов, используемых при организации дорожного движения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57 806,99 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 /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21 940,50 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ед.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 содержанию инженерно-транспортных сооружений –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20 038,48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м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 содержанию инженерно-транспортных сооружений – 317 ед. (в том числе бесхозных 115,00 ед.);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по содержанию бесхозных сетей ливневой канализации – 1 578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м.п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Комплекс процессных мероприятий «Субсидии муниципальным бюджетным учреждениям Владивостокского городского округа на содержание имущества»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15 294,24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15 294,24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Субсидии муниципальным бюджетным учреждениям Владивостокского городского округа на содержание имущества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15 294,24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15 294,24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  <w:t xml:space="preserve">Средства направлены на обеспечение выполнения функций МБУ «СГТ» - транспортный налог, земельный налог и налог на имущество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hanging="34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Комплекс процессных мероприятий «Приобретение специализированной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дорожной техники и оборудования для нужд Владивостокского городского округа»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168 099,96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168 094,96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hanging="34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Приобретение специализированной дорожной техники и оборудования для нужд Владивостокского городского округа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168 099,96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168 094,96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Выдана субсидия МБУ «СГТ»: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highlight w:val="whit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</w: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  <w:t xml:space="preserve">на погашение платежа по оказанию услуги финансовой аренды (лизинга) автотранспорта и спецтехники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на приобретение грузовых автомобилей с бортовой платформой – 4 ед.;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на приобретение машины дорожной комбинированной -1 ед.;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на приобретение грузовых автомобилей с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краноманипуляторными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установками – 2 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i/>
                <w:iCs/>
                <w:sz w:val="24"/>
                <w:szCs w:val="24"/>
              </w:rPr>
              <w:t xml:space="preserve">- на п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риобретение дизельного компрессора – 1 ед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1"/>
                <w:numId w:val="21"/>
              </w:numPr>
              <w:contextualSpacing w:val="0"/>
              <w:ind w:left="0" w:hanging="34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Комплекс процессных мероприятий «Руководство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258 553,50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210 276,61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81,33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hanging="34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Расходы на обеспечение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выполнения функций управления дорог администрации города Владивостока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126 211,88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122 479,67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97,04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Средства направлены на обеспечение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выполнения функций управления дорог администрации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 г. Владивостока.</w:t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highlight w:val="white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6" w:type="dxa"/>
            <w:textDirection w:val="lrTb"/>
            <w:noWrap w:val="false"/>
          </w:tcPr>
          <w:p>
            <w:pPr>
              <w:pStyle w:val="753"/>
              <w:numPr>
                <w:ilvl w:val="2"/>
                <w:numId w:val="21"/>
              </w:numPr>
              <w:contextualSpacing w:val="0"/>
              <w:ind w:lef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Расходы на обеспечение выполнения функций муниципального казенного учреждения «Центр организации дорожного </w:t>
            </w:r>
            <w:bookmarkStart w:id="0" w:name="undefined"/>
            <w:r>
              <w:rPr>
                <w:highlight w:val="white"/>
              </w:rPr>
            </w:r>
            <w:bookmarkEnd w:id="0"/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движения»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132 341,62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87 796,94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  <w:t xml:space="preserve">66,34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5" w:type="dxa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Средства направлены на обеспечение выполнения функций МКУ «ЦОДД»: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на оплату труда работников, начисления на оплату труда работников,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на закупки в сфере информационно-коммуникационных технологий,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коммунальные услуги, на оплату налогов,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  <w:p>
            <w:pPr>
              <w:contextualSpacing w:val="0"/>
              <w:ind w:left="0" w:right="0"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- на содержание закрытых плоскостных парковок со шлагбаумом в районе ул. Корабельная Набережная, д. 1, ул. Шуйская, и многоуровневой механизированной стоянки автомобилей в районе ул.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Верхнепортовая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highlight w:val="white"/>
                <w:lang w:eastAsia="ru-RU"/>
              </w:rPr>
              <w:t xml:space="preserve">, д. 8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highlight w:val="white"/>
                <w14:ligatures w14:val="none"/>
              </w:rPr>
            </w:r>
          </w:p>
        </w:tc>
      </w:tr>
    </w:tbl>
    <w:p>
      <w:pPr>
        <w:tabs>
          <w:tab w:val="left" w:pos="851" w:leader="none"/>
        </w:tabs>
        <w:rPr>
          <w:strike w:val="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4"/>
        <w:ind w:right="0" w:firstLine="0"/>
        <w:jc w:val="center"/>
        <w:rPr>
          <w:strike w:val="0"/>
          <w:color w:val="auto"/>
          <w:szCs w:val="28"/>
          <w:highlight w:val="white"/>
        </w:rPr>
      </w:pPr>
      <w:r/>
      <w:bookmarkStart w:id="15" w:name="_Toc14"/>
      <w:r>
        <w:rPr>
          <w:strike w:val="0"/>
          <w:color w:val="auto"/>
          <w:szCs w:val="28"/>
          <w:highlight w:val="white"/>
        </w:rPr>
        <w:t xml:space="preserve">4.1.4. </w:t>
      </w:r>
      <w:r>
        <w:rPr>
          <w:strike w:val="0"/>
          <w:color w:val="auto"/>
          <w:szCs w:val="28"/>
          <w:highlight w:val="white"/>
        </w:rPr>
        <w:t xml:space="preserve">Муниципальная программа «Образование и молодежь Владивостока»</w:t>
      </w:r>
      <w:r>
        <w:rPr>
          <w:strike w:val="0"/>
          <w:color w:val="auto"/>
          <w:szCs w:val="28"/>
          <w:highlight w:val="white"/>
        </w:rPr>
      </w:r>
      <w:bookmarkEnd w:id="15"/>
      <w:r>
        <w:rPr>
          <w:strike w:val="0"/>
          <w:color w:val="auto"/>
          <w:szCs w:val="28"/>
          <w:highlight w:val="white"/>
        </w:rPr>
      </w:r>
      <w:r>
        <w:rPr>
          <w:strike w:val="0"/>
          <w:color w:val="auto"/>
          <w:szCs w:val="28"/>
          <w:highlight w:val="white"/>
        </w:rPr>
      </w:r>
    </w:p>
    <w:p>
      <w:pPr>
        <w:rPr>
          <w:strike w:val="0"/>
          <w:color w:val="auto"/>
          <w:szCs w:val="28"/>
          <w:highlight w:val="white"/>
        </w:rPr>
      </w:pPr>
      <w:r>
        <w:rPr>
          <w:strike w:val="0"/>
          <w:color w:val="auto"/>
          <w:szCs w:val="28"/>
          <w:highlight w:val="white"/>
        </w:rPr>
      </w:r>
      <w:r>
        <w:rPr>
          <w:strike w:val="0"/>
          <w:color w:val="auto"/>
          <w:szCs w:val="28"/>
          <w:highlight w:val="white"/>
        </w:rPr>
      </w:r>
      <w:r>
        <w:rPr>
          <w:strike w:val="0"/>
          <w:color w:val="auto"/>
          <w:szCs w:val="28"/>
          <w:highlight w:val="white"/>
        </w:rPr>
      </w:r>
    </w:p>
    <w:p>
      <w:pPr>
        <w:rPr>
          <w:strike w:val="0"/>
          <w:color w:val="auto"/>
          <w:szCs w:val="28"/>
          <w:highlight w:val="white"/>
        </w:rPr>
      </w:pPr>
      <w:r>
        <w:rPr>
          <w:strike w:val="0"/>
          <w:color w:val="auto"/>
          <w:szCs w:val="28"/>
          <w:highlight w:val="white"/>
        </w:rPr>
        <w:t xml:space="preserve">Муниципальная программа «Образование и молодежь Владивостока» утверждена постановлением администрации города Владивостока от 21.09.2023 № 2418.</w:t>
      </w:r>
      <w:r>
        <w:rPr>
          <w:strike w:val="0"/>
          <w:color w:val="auto"/>
          <w:szCs w:val="28"/>
          <w:highlight w:val="white"/>
        </w:rPr>
      </w:r>
      <w:r>
        <w:rPr>
          <w:strike w:val="0"/>
          <w:color w:val="auto"/>
          <w:szCs w:val="28"/>
          <w:highlight w:val="white"/>
        </w:rPr>
      </w:r>
    </w:p>
    <w:p>
      <w:pPr>
        <w:spacing w:line="336" w:lineRule="auto"/>
        <w:rPr>
          <w:strike w:val="0"/>
          <w:color w:val="auto"/>
          <w:szCs w:val="28"/>
          <w:highlight w:val="white"/>
        </w:rPr>
      </w:pPr>
      <w:r>
        <w:rPr>
          <w:strike w:val="0"/>
          <w:color w:val="auto"/>
          <w:szCs w:val="28"/>
          <w:highlight w:val="white"/>
        </w:rPr>
        <w:t xml:space="preserve">Ответственный исполнитель муниципальной программы - Управление по работе с муниципальными учреждениями образования администрации города Владивостока. </w:t>
      </w:r>
      <w:r>
        <w:rPr>
          <w:strike w:val="0"/>
          <w:color w:val="auto"/>
          <w:szCs w:val="28"/>
          <w:highlight w:val="white"/>
        </w:rPr>
      </w:r>
      <w:r>
        <w:rPr>
          <w:strike w:val="0"/>
          <w:color w:val="auto"/>
          <w:szCs w:val="28"/>
          <w:highlight w:val="white"/>
        </w:rPr>
      </w:r>
    </w:p>
    <w:p>
      <w:pPr>
        <w:spacing w:line="336" w:lineRule="auto"/>
        <w:rPr>
          <w:strike w:val="0"/>
          <w:color w:val="auto"/>
          <w:szCs w:val="28"/>
          <w:highlight w:val="white"/>
        </w:rPr>
      </w:pPr>
      <w:r>
        <w:rPr>
          <w:strike w:val="0"/>
          <w:color w:val="auto"/>
          <w:szCs w:val="28"/>
          <w:highlight w:val="white"/>
        </w:rPr>
        <w:t xml:space="preserve">Структура расходов муниципальной программы в 2025 году представлена в таблице:</w:t>
      </w:r>
      <w:r>
        <w:rPr>
          <w:strike w:val="0"/>
          <w:color w:val="auto"/>
          <w:szCs w:val="28"/>
          <w:highlight w:val="white"/>
        </w:rPr>
      </w:r>
      <w:r>
        <w:rPr>
          <w:strike w:val="0"/>
          <w:color w:val="auto"/>
          <w:szCs w:val="28"/>
          <w:highlight w:val="white"/>
        </w:rPr>
      </w:r>
    </w:p>
    <w:tbl>
      <w:tblPr>
        <w:tblW w:w="9822" w:type="dxa"/>
        <w:tblInd w:w="107" w:type="dxa"/>
        <w:tblLayout w:type="fixed"/>
        <w:tblLook w:val="00A0" w:firstRow="1" w:lastRow="0" w:firstColumn="1" w:lastColumn="0" w:noHBand="0" w:noVBand="0"/>
      </w:tblPr>
      <w:tblGrid>
        <w:gridCol w:w="5178"/>
        <w:gridCol w:w="1984"/>
        <w:gridCol w:w="1560"/>
        <w:gridCol w:w="1100"/>
      </w:tblGrid>
      <w:tr>
        <w:tblPrEx/>
        <w:trPr>
          <w:trHeight w:val="123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4"/>
                <w:szCs w:val="24"/>
                <w:highlight w:val="white"/>
              </w:rPr>
              <w:t xml:space="preserve">Наименование направления расходования средств</w:t>
            </w:r>
            <w:r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  <w:t xml:space="preserve">Уточненный пл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  <w:t xml:space="preserve">ан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  <w:br/>
            </w: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4"/>
                <w:szCs w:val="24"/>
                <w:highlight w:val="white"/>
              </w:rPr>
              <w:t xml:space="preserve">тыс. рублей</w:t>
            </w:r>
            <w:r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trike w:val="0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4"/>
                <w:szCs w:val="24"/>
                <w:highlight w:val="white"/>
              </w:rPr>
              <w:t xml:space="preserve">Исполнено</w:t>
            </w:r>
            <w:r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3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4"/>
                <w:szCs w:val="24"/>
                <w:highlight w:val="white"/>
              </w:rPr>
              <w:t xml:space="preserve">тыс. рублей</w:t>
            </w:r>
            <w:r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auto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trike w:val="0"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Расходы по муниципальной программе всего, в том числе за счет: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15 896 355,47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left="0" w:right="0" w:hanging="283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15 832 783,07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99,60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налоговых и неналоговых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доходов и дотации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5 950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247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,42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5 904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191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,84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99,23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межбюджетных трансфертов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9 946 108,05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9 928 591,23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99,82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1. Подпрограмма «Развитие системы дошкольного образования» 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6 150 120,37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6 106 762,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99,30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1.1. Комплекс процессных мероприятий «Меры поддержки семей, имеющих детей, осваивающих основных общеобразовательных программ дошкольного образования»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106 074,81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98 353,49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92,72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right="141" w:firstLine="0"/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произведена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выплата компенсации части платы, взима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на территории Владивостокского городского округа,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98 353,49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 руб.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1.2. Комплекс процессных мероприятий «Организация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5 676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358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5 674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279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,49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99,96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израсходовано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5 674 279,49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финансовое обеспечение выполнения муниципального задания на оказание муниципальных услуг (выполнение работ) в отношении муниципальных дошкольных образовательных учреждений города Владивостока в размере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5 523 326,16 тыс. руб.;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капитальный ремонт зданий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МБДОУ «Детский сад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№ 8»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МБДОУ «Детский сад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24»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47 591,86 тыс. руб.;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color w:val="auto" w:themeColor="text1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мероприятия по выполнению аварийно-восстановительных работ и осуществлению текущего ремонта, приобретению основных средств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 882,78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руб.;</w:t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рамках данного мероприятия проведены следующие работы: выполнен ремонт кровли, ремонт освещения, ремонт водоснабжения, отопления, канализации и другие ремонтные работы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Кроме того, приобретены основные средства, в том числе технологическое оборудование и мебель на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общую сумму 1 076,51 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мероприятия по реализации безопасности учреждений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(эксплуатационно-техническое обслуживание систем тревожной, охранной сигнализации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систем автоматических пожарных сигнализаций (АПС), систем оповещения и управления эвакуацией людей при пожаре (СОУЭ); закупка огне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тушителей; установка систем тревожной и охранной сигнализации; техническое обслуживание систем видеонаблюдения, услуги по оперативному реагированию группы задержания, группы быстрого реагирования на сообщения о срабатывании тревожной, охранной сигнализации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ремонт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замен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а ограждений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)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размере 30 103,69 тыс. руб.;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организацию и проведение мероприятий по развитию и поддержке педагогических кадров в муниципальных дошкольных образовательных учреждениях города Владивостока в размере 375,00 тыс. руб.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1.3. Комплекс процессных мероприятий «Развитие инфраструктуры организаций дошкольного образования»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367 686,64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334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129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09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90,87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334 129,09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строительство, реконструкция (в том числе проектно-изыскательские работы) объектов муниципальной собственности Владивостокского городского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округа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, приобрете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ние (выкуп) зданий (пристроев, помещений, в том числе помещений, встроенных в жилые дома и (или) встроенно-пристроенных, или пристроенных) для размещения муниципальных дошкольных образовательных учреждений города Владивостока в размере 265 200,81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, в т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ом числе 203 401,00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приобретение помещения под дошкольное образовательное учреждение на 90 мест, расположенное в районе «Патрокл» (ул. Сочинская, 17 в г. Владивостоке)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капитальный ремонт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муниципальной собственности «Детский сад на 130 мест по адресу: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Владивосток,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ул. Постышева, 7а»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в размере 68 928,28 тыс. руб.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2. Подпрограмма «Развитие системы общего образования»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7 649 873,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7 642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957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52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99,91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2.1. Комплекс процессных мероприятий «Организация деятельности и образовательного процесса в муниципальных общеобразовательных учреждениях города Владивостока»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7 645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016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7 638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59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99,91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7 638 100,59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финансовое обеспечение выполнения муниципального задания на оказание муниципальных услуг (выполнение работ) в отношении муниципальных общеобразовательных учреждений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7 237 581,60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рублей, из них на обеспечение бесплатным питанием детей, обучающихся в муниципальных общеобразовательных учреждениях города Владивостока, в размере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546 951,40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.;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капитальный ремонт зданий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(капитальный ремонт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спортивных залов со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вспомогательными помещениями, ремонт крыш и кровель,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ремонт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фасад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ремонт пищеблоков,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ремонт внутренних помещений)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муниципальных общеобразовательных учреждениях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МБОУ СОШ №№ 2, 59, 67, 72, 73,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МБОУ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«ЦО №28», МБОУ «ЦО Вектор»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236 249,09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из них межбюджетные трансферты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165 374,36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мероприятия по выполнению аварийно-восстановительных работ и осуществлению текущего ремонта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88 067,90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Осуществлен ремонт кровель,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ремонт внутренних помещений,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нт освещения, ремонт асфальтобетонного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покрытия, ремонт отопления, канализации и другие ремонтные работы;</w:t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приобретение основных средств,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том числе оборудование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целях реализации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проекта "Беспилотные авиационные системы в школах" на базе общеобразовательных учреждений г. Владивостока (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МБОУ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СОШ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№№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22, 48, 56,17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), а также технологического оборудования и мебели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22 130,42 тыс. руб.;</w:t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мероприятия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 реализации безопасности учреждений (эксплуатационно-техническое обслуживание систем тревожной, охранной сигнализации, систем автоматических пожарных сигнализаций (АПС), систем оповещения и управления эвакуацией людей при пожаре (СОУЭ); закупка огнетуши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телей; установка систем тревожной и охранной сигнализации; техническое обслуживание систем видеонаблюдения, услуги по оперативному реагированию группы задержания, группы быстрого реагирования на сообщения о срабатывании тревожной, охранной сигнализации) 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размере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49 507,26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организацию и проведение мероприятий по развитию и поддержке педагогических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кадров в муниципальных общеобразовательных учреждениях города Владивостока в размере 4 564,32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из них материальное стимулирование по договору о целевом обучении (стипендии) в размере 1 722,00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2025 году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выплачена стипендия по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итогам сессии 56 чел.  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2.2. Комплекс процессных мероприятий «Развитие инфраструктуры общеобразовательных организаций»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4 856,93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4 856,93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4 856,93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, в том числе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опл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ату выполненных работ по объекту капитального строительства «Школа № 1 на 1275 мест в жилом районе «Патрокл» в г. Владивостоке», на оказание консультационных услуг в части согласования проекта задания застройщика или технического заказчика на проектировани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е, проверки сметной стоимости проектно-изыскательских работ объекта капитального строительства, строительство, реконструкция, капитальный ремонт которого осуществляется с привлечением средств бюджетной системы Российской Федерации по объекту капитального с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троительства: «Школа на 1100 мест в районе ул. Русская, 92 в городе Владивостоке», оказание консультационных услуг в части согласования проекта задания застройщика или технического заказчика на проектирование объекта капитального строительства, строительст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во, реконструкция, капитальный ремонт которого осуществляется с привлечением средств бюджетной системы Российской Федерации по объекту капитального строительства: «Учебный корпус на 300 мест к МБОУ «Средняя общеобразовательная школа № 83» г. Владивостока».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3. Подпрограмма «Развитие системы дополнительного образования и психолого-педагогической помощи»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727 726,37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727 527,17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99,97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3.1. Комплекс процессных мероприятий «Организация деятельности и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образовательного процесса в муниципальных учреждениях дополнительного образования города Владивостока»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662 936,24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662 901,24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99,99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                     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662 901,24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финансовое обеспечение выполнения муниципального задания на оказание муниципальных услуг (выполнение работ) в отношении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муниципальных учреждений дополнительного образования города Владивостока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650 007,35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5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мероприятия по выполнению аварийно-восстановительных работ и осуществлению текущего ремонта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4 135,95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Осуществлен ремонт кровель,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ремонт помещений,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ремонт освещения, ремонт отопления, канализации;</w:t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приобретение оборудовани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2 029,87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руб.;</w:t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</w:p>
          <w:p>
            <w:pPr>
              <w:numPr>
                <w:ilvl w:val="0"/>
                <w:numId w:val="16"/>
              </w:numPr>
              <w:contextualSpacing/>
              <w:ind w:left="0" w:righ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мероприятия по реализации безопасности учреждений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(эксплуатационно-техническое обслуживание систем тревожной, охранной сигнализации, систем автоматических пожарных сигнализаций (АПС), систем оповещения и управления эвакуаци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ей людей при пожаре (СОУЭ); закупка огнетушителей; техническое обслуживание систем видеонаблюдения, услуги по оперативному реагированию группы задержания, группы быстрого реагирования на сообщения о срабатывании тревожной, охранной сигнализации)  в размере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6 728,0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3.2. Комплекс процессных мероприятий «Организация и проведение мероприятий различной направленности»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2 145,00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2 130,70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99,33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2 130,70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в том числе: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r>
          </w:p>
          <w:p>
            <w:pPr>
              <w:numPr>
                <w:ilvl w:val="0"/>
                <w:numId w:val="17"/>
              </w:numPr>
              <w:contextualSpacing/>
              <w:ind w:lef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организацию и проведение мероприятий различной направленности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израсходовано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1 630,70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в том числе на проведение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муниципального этапа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bidi="ru-RU"/>
              </w:rPr>
              <w:t xml:space="preserve">Всероссийской олимпиады школьников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bidi="ru-RU"/>
              </w:rPr>
              <w:t xml:space="preserve"> в размере 1 149,86 тыс. руб.</w:t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  <w:r>
              <w:rPr>
                <w:rFonts w:ascii="Times New Roman" w:hAnsi="Times New Roman" w:cs="Times New Roman"/>
                <w:color w:val="auto" w:themeColor="text1"/>
                <w:szCs w:val="28"/>
              </w:rPr>
            </w:r>
          </w:p>
          <w:p>
            <w:pPr>
              <w:ind w:firstLine="748"/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zh-CN"/>
              </w:rPr>
              <w:t xml:space="preserve">- на единовременную денежную выплату выпускникам 11 классов муниципальных общеобразовательных организаций города Владивостока, набравшим 100 баллов на едином государственном экзамене в рамках государственной итоговой атт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zh-CN"/>
              </w:rPr>
              <w:t xml:space="preserve">естации по образовательным программам среднего общего образования и поступившим в образовательные организации Приморского края, осуществляющие обучение по образовательным программам высшего образования, в размере 500,00 тыс. руб.  В 2025 году 5 выпускников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zh-CN"/>
              </w:rPr>
              <w:t xml:space="preserve">11 классов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lang w:eastAsia="zh-CN"/>
              </w:rPr>
              <w:t xml:space="preserve"> получили по 100,00 тыс. руб.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3.3. Комплекс процессных мероприятий «Организация деятельности муниципального бюджетного учреждения "Центр психолого-педагогической, медицинской и социальной помощи г. Владивостока»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62 495,23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62 495,23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62 495,23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в том числе: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r>
          </w:p>
          <w:p>
            <w:pPr>
              <w:numPr>
                <w:ilvl w:val="0"/>
                <w:numId w:val="17"/>
              </w:numPr>
              <w:contextualSpacing/>
              <w:ind w:left="0" w:firstLine="709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на финансовое обеспечение выполнения муниципального задания на оказание муниципальных услуг (выполнение работ) в отношении муниципального бюджетного учреждения «Центр психолого-педагогической, медицинской и социальной помощи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Владивостока» в размере 61 921,37 тыс. руб.;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17"/>
              </w:numPr>
              <w:contextualSpacing/>
              <w:ind w:left="0" w:firstLine="709"/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мероприятия по выполнению аварийно-восстановительных работ и организацию обеспечения безопасности в размере 573,8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руб. 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  <w:p>
            <w:pPr>
              <w:contextualSpacing/>
              <w:ind w:left="39" w:firstLine="670"/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рамках данного мероприятия проведены следующие работы: выполнен ремонт системы отопления и внутреннего освещения, обслуживание систем тревожной, охранной сигнализации, систем автоматических пожарных сигнализаций (АПС), систем оповещения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и управления эвакуацией людей при пожаре (СОУЭ) и другие работы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3.4. Комплекс процессных мероприятий «Оказание муниципальных услуг в социальной сфере по реализации дополнительных общеразвивающих программ»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149,91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right="0" w:firstLine="0"/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2025 году п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редоставление субсидий юридическим лицам, не являющимся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муниципальными учреждениями, индивидуальным предпринимателям, вовлеченным в оказание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не осуществлялось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4. Подпрограмма «Патриотическое воспитание и молодежная политика»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171 213,80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169 363,06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98,92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4.1. Комплекс процессных мероприятий «Проведение мероприятий по патриотическому воспитанию»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4 124,76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3 683,62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89,31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3 683,62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проведение городских и районных мероприятий (конкурсов, смотров, слётов, фестивалей и др.), направленных на гражданско-патриотическое и духовно-нравственное воспитание обучающихся муниципальных образовательных учреждений города Владивостока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874,71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 руб.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Всего за 2025 год было проведено более 1000 мероприятий различной направленности, в том числе: фести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вали и конкурсы изобразительного искусства, театрального и вокального мастерства, правового воспитания, профилактики употребления ПАВ, профилактики буллинга, профилактики деструктивного и антивитального поведения, развитию безопасного поведения дома, в шко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ле и на улице, патриотическому воспитания, месячники БДД, ЗОЖ, туристические слеты, военно-тактические игры, мероприятия, направленные на экологическое воспитание и другие мероприятия, в которых приняли участие более 63 000 детей в возрасте от 5 до 18 лет.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рганизаци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и проведение гражданско-патриотических мероприятий с участием всех возрастных групп населения Владивостокского городского округа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2 308,91 тыс. руб.;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2025 году проведены мероприятия,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посвященные празднованию Дня защитника Отечества, Дню Победы советского народа в Великой Отечественной войне 1941 – 1945 годов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окончанию Второй мировой войны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годовщине со дня основания города Владивостока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п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риобретение формы и учебного оборудования для воспитанников детских военно-патриотических клубов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500,00 тыс. руб.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4.2. Комплекс процессных мероприятий «Организация отдыха, оздоровления и занятости обучающихся (детей) муниципальных образовательных учреждений города Владивостока»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120 380,12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120 086,54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99,76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567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                     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120 086,54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на организацию занятости обучающихся муниципальных образовательных учреждений города Владивостока в каникулярное время (трудоустройство 2 079 обучающихся) в размере 18 346,09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на организацию и проведение физкультурно-оздоровительных занятий с детьми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дошкольного возраста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11 700,15 тыс. руб.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2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ых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дошкольн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ых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ых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ях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города Владивостока введена программа «Маугли». Данная программа является дополнительной программой физического воспитания 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дошкольных образовательных учреждениях города Владивостока, основанная на преимущественном использовании средств гимнастики. Программа рассчитана на работы с детьми в возрасте от 4 до 7 лет. Общая численность детей, охваченных данной программой, </w:t>
              <w:br/>
              <w:t xml:space="preserve">1500 чел.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- 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рганизаци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и обеспечение оздоровления и отдыха детей (за исключением организации отдыха детей в каникулярное время)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90 040,30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в том числе компенсацию части расходов на оплату стоимости путевки, приобретенной в организациях и (или) индивидуальных предпринимателей, оказывающих услуги по организации отдыха и оздоровления детей в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46 359,79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Общий охват детей, отдохнувших в организациях отдыха и оздоровления детей, составил 18 457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чел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4.3. Комплекс процессных мероприятий «Организация и осуществление мероприятий по работе с детьми и молодежью»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46 708,92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45 592,90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97,61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45 592,90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тыс. руб., из них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фи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нансовое обеспечение выполнения муниципального задания на оказание муниципальных услуг (выполнение работ) в отношении муниципального автономного учрежден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ия «Молодежный ресурсный центр»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размере 20 710,75 тыс. руб.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выявление и поддержк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активной молодежи города Владивостока, популяризаци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и продвижение молодежной политики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в размере 24 882,15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, из них на организацию и проведение мероприятия «Городской последний звонок «Навсегда в сердечке» в г. Владивостоке в размере 10 000,00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проведение городского мероприятия «День знаний», посвященного началу учебного года, для обучающихся образовательных учреждений гор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ода Владивостока в размере 4 280,62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; на организацию и проведение мероприятий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«Вручение знака «Молодежный вектор», «Выплата премии  молодежи города Владивостока «Есть за что!», «Выплата премии «Доброволец года» в размере 10 401,53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и др.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5. Подпрограмма «Организация мероприятий по охране окружающей среды, экологическому просвещению и повышению уровня экологической культуры»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3 750,00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3 750,00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5.1. Комплекс процессных мероприятий «Мероприятия в области формирования экологической культуры, развития экологического образования и воспитания»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3 750,00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3 750,00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реализации данного комплекса мероприятий израсходовано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3 750,00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тыс. руб., в том числе: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  <w:szCs w:val="24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Cs/>
                <w:i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на п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роведе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ние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, направленны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на экологическое образование, просвещение и воспитание экологической культуры населения города Владивостока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в размере 2 985,00 тыс. руб. В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2025 приняли участие 51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559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чел.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из 63 учебных заведений города и представители 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общественных организаций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i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изготовлен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и установ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ку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6 средств наглядной агитации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250,00 тыс. руб.;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color w:val="auto" w:themeColor="text1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на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проведени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экологических акций по санитарной очистке территорий ВГО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515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,00 тыс. руб.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Организовано и проведено 10 акции по санитарной очистке территорий ВГО с участием 400 че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из 3 учебных заведений города и представителей 7 общественных организаций. Всего собрано за 10 акций отходов 3550 кг.</w:t>
            </w:r>
            <w:r>
              <w:rPr>
                <w:rFonts w:ascii="Times New Roman" w:hAnsi="Times New Roman" w:cs="Times New Roman"/>
                <w:color w:val="auto" w:themeColor="text1"/>
              </w:rPr>
            </w:r>
            <w:r>
              <w:rPr>
                <w:rFonts w:ascii="Times New Roman" w:hAnsi="Times New Roman" w:cs="Times New Roman"/>
                <w:color w:val="auto" w:themeColor="text1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6. Подпрограмма «Управление системой образования и молодежной политикой»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439 754,92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437 125,48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99,40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6.1. Комплекс процессных мероприятий «Руководство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439 754,92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437 125,48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99,40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139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рамках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данных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мероприяти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2025 году израсходовано на: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ind w:left="0" w:right="0" w:firstLine="709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 обеспечение выполнения функций Управления по работе с муниципальными учреждениями образования администрации г. Владивостока в размере 97 981,04 тыс. руб.; 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  <w:p>
            <w:pPr>
              <w:ind w:left="0" w:right="0" w:firstLine="709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- обеспечение выполнения функций муниципального казённого учреждения «Централизованная бухгалтерия муниципальных образовательных учреждений г. Владивостока»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в размере 339 144,44 тыс. руб.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7. Подпрограмма «Реализация национальных проектов «Молодежь и дети» и «Семья»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753 916,37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745 297,77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98,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86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7.1. Муниципальный проект «Все лучшее детям», входящий в состав регионального проекта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«Все лучшее детям (Приморский край)»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180 625,13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172 272,77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95,38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данного муниципального проекта реализованы мероприятия по модернизации школьных систем образования на общую сумму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172 272,77 тыс. руб.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МБОУ СОШ №№ 7, 35,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39, 48, 70, 79 и МБОУ «ЦО Вектор»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проведен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капитальный ремонт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зданий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и приобретено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оборудование.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7.2. Муниципальный проект «Педагоги и наставники», входящий в состав регионального проекта «Педагоги и наставники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(Приморский край)»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479 627,51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479 361,26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99,94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firstLine="0"/>
              <w:jc w:val="both"/>
              <w:spacing w:line="240" w:lineRule="auto"/>
              <w:rPr>
                <w:rFonts w:ascii="Times New Roman" w:hAnsi="Times New Roman" w:cs="Times New Roman"/>
                <w:bCs/>
                <w:i/>
                <w:color w:val="auto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данного муниципального проекта:</w:t>
            </w:r>
            <w:r>
              <w:rPr>
                <w:rFonts w:ascii="Times New Roman" w:hAnsi="Times New Roman" w:cs="Times New Roman"/>
                <w:bCs/>
                <w:i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/>
                <w:sz w:val="24"/>
                <w:szCs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финансовое обеспечение выполнения муниципального задания на оказание муниципальных услуг (выполнение работ) в отношении муниципальных общеобразовательных учреждений 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размере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331 527,51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 из них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10 980,59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тыс. руб.;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37 036,94 тыс. руб.,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беспечение выплат ежемесячного денежного вознаграждения за классное руково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дство педагогическим работникам муниципальных образовательных организаций города Владивостока, реализующих образовательные программы начального общего, основного общего и среднего общего образования, в том числе адаптированные общеобразовательные программы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размере 283 509,98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bCs/>
                <w:i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  <w:pBdr>
                <w:bottom w:val="single" w:color="FFFFFF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4"/>
                <w:szCs w:val="24"/>
              </w:rPr>
              <w:t xml:space="preserve"> на предоставление мер социальной поддержки педагогическим работникам муниципальных образовательных организаций израсходовано 147 833,7</w:t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4"/>
                <w:szCs w:val="24"/>
              </w:rPr>
              <w:t xml:space="preserve"> тыс. руб</w:t>
            </w:r>
            <w:r>
              <w:rPr>
                <w:rFonts w:ascii="Times New Roman" w:hAnsi="Times New Roman" w:eastAsia="Times New Roman" w:cs="Times New Roman"/>
                <w:bCs/>
                <w:i/>
                <w:color w:val="auto"/>
                <w:sz w:val="24"/>
                <w:szCs w:val="24"/>
              </w:rPr>
              <w:t xml:space="preserve">., в том числе: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  <w:pBdr>
                <w:bottom w:val="single" w:color="FFFFFF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232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педагогических работник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получили единовременную денежную выплату в размере от 250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,00 тыс.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 до 350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зависимости от уровня образования и наличия диплома с отличием;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  <w:pBdr>
                <w:bottom w:val="single" w:color="FFFFFF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786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педагогический работников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получили ежемесячную денежную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выплату в размере 10,00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 месяц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  <w:pBdr>
                <w:bottom w:val="single" w:color="FFFFFF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наставников получили ежемесячную денежную выплату в размере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5,00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месяц;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color w:val="auto" w:themeColor="text1"/>
                <w:highlight w:val="white"/>
              </w:rPr>
              <w:pBdr>
                <w:bottom w:val="single" w:color="FFFFFF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17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педагог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получили компенсацию расходов на жилье в размере 50% фактических расходов по договору найма (поднайма) жилого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помещения, но не более </w:t>
              <w:br/>
              <w:t xml:space="preserve">10,00 тыс. руб.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в месяц, в течение одного года работы в образовательной организации;</w:t>
            </w:r>
            <w:r>
              <w:rPr>
                <w:rFonts w:ascii="Times New Roman" w:hAnsi="Times New Roman" w:cs="Times New Roman"/>
                <w:color w:val="auto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auto" w:themeColor="text1"/>
                <w:highlight w:val="white"/>
              </w:rPr>
            </w:r>
          </w:p>
          <w:p>
            <w:pPr>
              <w:numPr>
                <w:ilvl w:val="0"/>
                <w:numId w:val="24"/>
              </w:numPr>
              <w:contextualSpacing/>
              <w:ind w:left="39" w:right="0" w:firstLine="670"/>
              <w:jc w:val="both"/>
              <w:spacing w:line="240" w:lineRule="auto"/>
              <w:rPr>
                <w:rFonts w:ascii="Times New Roman" w:hAnsi="Times New Roman" w:cs="Times New Roman"/>
                <w:color w:val="auto" w:themeColor="text1"/>
                <w:highlight w:val="white"/>
              </w:rPr>
              <w:pBdr>
                <w:bottom w:val="single" w:color="FFFFFF" w:sz="4" w:space="0"/>
                <w:between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получили компенсацию части стоимости путевки на санаторно-курортное лечение в размере 25 % фактических расходов стоимости путевки (раз в три года), но не более 15,00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тыс.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color w:val="auto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auto" w:themeColor="text1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7.3. Муниципальный проект «Поддержка семьи», входящий в состав регионального проекта «Поддержка семьи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(Приморский край)»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58 896,36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58 896,36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данного муниципального проекта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на капитальный ремонт и оснащение МБДОУ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«Детский сад № 28»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израсходовано 58 896,36 тыс. руб.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7.4. Муниципальный проект «Россия - страна возможностей», входящий в состав регионального проекта «Россия - страна возможностей»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highlight w:val="white"/>
              </w:rPr>
              <w:t xml:space="preserve"> Приморский край»</w:t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auto" w:themeColor="text1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34 767,37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34 767,37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В рамках данного муниципального проекта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на р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еализаци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программы комплексного развития молодежной политики «Регион для молодых» во Владивостокском городском округе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израсходовано 34 767,37 тыс. руб.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ыполнен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4"/>
                <w:szCs w:val="24"/>
              </w:rPr>
              <w:t xml:space="preserve"> по текущему ремонту и оснащению трех помещений в молодежных центрах по ул. Вязовая, 9,  ул. Пологая 30/34, </w:t>
              <w:br/>
              <w:t xml:space="preserve">ул. Полярная, 7</w:t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  <w:r>
              <w:rPr>
                <w:rFonts w:ascii="Times New Roman" w:hAnsi="Times New Roman" w:cs="Times New Roman"/>
                <w:i/>
                <w:iCs/>
                <w:color w:val="auto" w:themeColor="text1"/>
                <w:sz w:val="24"/>
              </w:rPr>
            </w:r>
          </w:p>
        </w:tc>
      </w:tr>
    </w:tbl>
    <w:p>
      <w:pPr>
        <w:rPr>
          <w:strike/>
          <w:color w:val="000000"/>
          <w:highlight w:val="green"/>
        </w:rPr>
      </w:pPr>
      <w:r>
        <w:rPr>
          <w:strike/>
          <w:color w:val="000000"/>
          <w:szCs w:val="28"/>
          <w:highlight w:val="green"/>
        </w:rPr>
      </w:r>
      <w:r>
        <w:rPr>
          <w:strike/>
          <w:color w:val="000000"/>
          <w:highlight w:val="green"/>
        </w:rPr>
      </w:r>
      <w:r>
        <w:rPr>
          <w:strike/>
          <w:color w:val="000000"/>
          <w:highlight w:val="green"/>
        </w:rPr>
      </w:r>
    </w:p>
    <w:p>
      <w:pPr>
        <w:pStyle w:val="734"/>
        <w:ind w:right="-57" w:firstLine="0"/>
        <w:jc w:val="center"/>
        <w:rPr>
          <w:rFonts w:eastAsia="Calibri"/>
          <w:strike w:val="0"/>
          <w:highlight w:val="none"/>
        </w:rPr>
      </w:pPr>
      <w:r/>
      <w:bookmarkStart w:id="16" w:name="_Toc15"/>
      <w:r>
        <w:rPr>
          <w:strike w:val="0"/>
          <w:highlight w:val="none"/>
        </w:rPr>
        <w:t xml:space="preserve">4.1.5. </w:t>
      </w:r>
      <w:r>
        <w:rPr>
          <w:strike w:val="0"/>
          <w:highlight w:val="none"/>
        </w:rPr>
        <w:t xml:space="preserve">Муниципальная программа «Экономика и финансы города Владивостока»</w:t>
      </w:r>
      <w:r>
        <w:rPr>
          <w:rFonts w:eastAsia="Calibri"/>
          <w:strike w:val="0"/>
          <w:highlight w:val="none"/>
        </w:rPr>
      </w:r>
      <w:bookmarkEnd w:id="16"/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rPr>
          <w:rFonts w:eastAsia="Calibri"/>
          <w:strike w:val="0"/>
          <w:szCs w:val="28"/>
          <w:highlight w:val="none"/>
        </w:rPr>
      </w:pPr>
      <w:r>
        <w:rPr>
          <w:rFonts w:eastAsia="Calibri"/>
          <w:strike w:val="0"/>
          <w:szCs w:val="28"/>
          <w:highlight w:val="none"/>
          <w:lang w:eastAsia="en-US"/>
        </w:rPr>
      </w: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</w:t>
      </w:r>
      <w:r>
        <w:rPr>
          <w:strike w:val="0"/>
          <w:highlight w:val="none"/>
        </w:rPr>
        <w:t xml:space="preserve">Экономика и финансы города Владивостока»</w:t>
      </w:r>
      <w:r>
        <w:rPr>
          <w:strike w:val="0"/>
          <w:szCs w:val="28"/>
          <w:highlight w:val="none"/>
        </w:rPr>
        <w:t xml:space="preserve"> утверждена постановлением администрации </w:t>
      </w:r>
      <w:r>
        <w:rPr>
          <w:strike w:val="0"/>
          <w:szCs w:val="28"/>
          <w:highlight w:val="none"/>
        </w:rPr>
        <w:t xml:space="preserve">г</w:t>
      </w:r>
      <w:r>
        <w:rPr>
          <w:strike w:val="0"/>
          <w:szCs w:val="28"/>
          <w:highlight w:val="none"/>
        </w:rPr>
        <w:t xml:space="preserve">орода Владивостока от 25.09.2023 № 2458.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bCs/>
          <w:strike w:val="0"/>
          <w:szCs w:val="28"/>
          <w:highlight w:val="none"/>
        </w:rPr>
      </w:pPr>
      <w:r>
        <w:rPr>
          <w:iCs/>
          <w:strike w:val="0"/>
          <w:szCs w:val="28"/>
          <w:highlight w:val="none"/>
        </w:rPr>
        <w:t xml:space="preserve">Ответственный исполнитель </w:t>
      </w:r>
      <w:r>
        <w:rPr>
          <w:strike w:val="0"/>
          <w:szCs w:val="28"/>
          <w:highlight w:val="none"/>
        </w:rPr>
        <w:t xml:space="preserve">муниципальной программы - </w:t>
      </w:r>
      <w:r>
        <w:rPr>
          <w:strike w:val="0"/>
          <w:szCs w:val="28"/>
          <w:highlight w:val="none"/>
        </w:rPr>
        <w:br/>
      </w:r>
      <w:r>
        <w:rPr>
          <w:bCs/>
          <w:strike w:val="0"/>
          <w:szCs w:val="28"/>
          <w:highlight w:val="none"/>
        </w:rPr>
        <w:t xml:space="preserve">Управление финансов администрации города Владивостока; </w:t>
      </w:r>
      <w:r>
        <w:rPr>
          <w:iCs/>
          <w:strike w:val="0"/>
          <w:szCs w:val="28"/>
          <w:highlight w:val="none"/>
        </w:rPr>
        <w:t xml:space="preserve">соисполнители: </w:t>
      </w:r>
      <w:r>
        <w:rPr>
          <w:bCs/>
          <w:strike w:val="0"/>
          <w:szCs w:val="28"/>
          <w:highlight w:val="none"/>
        </w:rPr>
      </w:r>
      <w:r>
        <w:rPr>
          <w:bCs/>
          <w:strike w:val="0"/>
          <w:szCs w:val="28"/>
          <w:highlight w:val="none"/>
        </w:rPr>
      </w:r>
    </w:p>
    <w:p>
      <w:pPr>
        <w:ind w:firstLine="708"/>
        <w:rPr>
          <w:bCs/>
          <w:strike w:val="0"/>
          <w:szCs w:val="28"/>
          <w:highlight w:val="none"/>
        </w:rPr>
      </w:pPr>
      <w:r>
        <w:rPr>
          <w:iCs/>
          <w:strike w:val="0"/>
          <w:szCs w:val="28"/>
          <w:highlight w:val="none"/>
        </w:rPr>
        <w:t xml:space="preserve">- </w:t>
      </w:r>
      <w:r>
        <w:rPr>
          <w:bCs/>
          <w:strike w:val="0"/>
          <w:szCs w:val="28"/>
          <w:highlight w:val="none"/>
        </w:rPr>
        <w:t xml:space="preserve">Управление муниципальной собственности г. Владивостока;</w:t>
      </w:r>
      <w:r>
        <w:rPr>
          <w:bCs/>
          <w:strike w:val="0"/>
          <w:szCs w:val="28"/>
          <w:highlight w:val="none"/>
        </w:rPr>
      </w:r>
      <w:r>
        <w:rPr>
          <w:bCs/>
          <w:strike w:val="0"/>
          <w:szCs w:val="28"/>
          <w:highlight w:val="none"/>
        </w:rPr>
      </w:r>
    </w:p>
    <w:p>
      <w:pPr>
        <w:ind w:firstLine="708"/>
        <w:rPr>
          <w:bCs/>
          <w:strike w:val="0"/>
          <w:szCs w:val="28"/>
          <w:highlight w:val="none"/>
        </w:rPr>
      </w:pPr>
      <w:r>
        <w:rPr>
          <w:bCs/>
          <w:strike w:val="0"/>
          <w:szCs w:val="28"/>
          <w:highlight w:val="none"/>
        </w:rPr>
        <w:t xml:space="preserve">- управление развития предпринимательства и потребительского рынка администрации города Владивостока; </w:t>
      </w:r>
      <w:r>
        <w:rPr>
          <w:bCs/>
          <w:strike w:val="0"/>
          <w:szCs w:val="28"/>
          <w:highlight w:val="none"/>
        </w:rPr>
      </w:r>
      <w:r>
        <w:rPr>
          <w:bCs/>
          <w:strike w:val="0"/>
          <w:szCs w:val="28"/>
          <w:highlight w:val="none"/>
        </w:rPr>
      </w:r>
    </w:p>
    <w:p>
      <w:pPr>
        <w:ind w:firstLine="708"/>
        <w:rPr>
          <w:bCs/>
          <w:strike w:val="0"/>
          <w:szCs w:val="28"/>
          <w:highlight w:val="none"/>
        </w:rPr>
      </w:pPr>
      <w:r>
        <w:rPr>
          <w:bCs/>
          <w:strike w:val="0"/>
          <w:szCs w:val="28"/>
          <w:highlight w:val="none"/>
        </w:rPr>
        <w:t xml:space="preserve">- участник - У</w:t>
      </w:r>
      <w:r>
        <w:rPr>
          <w:strike w:val="0"/>
          <w:szCs w:val="28"/>
          <w:highlight w:val="none"/>
        </w:rPr>
        <w:t xml:space="preserve">правление внутреннего муниципального финансового контроля</w:t>
      </w:r>
      <w:r>
        <w:rPr>
          <w:bCs/>
          <w:strike w:val="0"/>
          <w:szCs w:val="28"/>
          <w:highlight w:val="none"/>
        </w:rPr>
        <w:t xml:space="preserve"> администрации города Владивостока.</w:t>
      </w:r>
      <w:r>
        <w:rPr>
          <w:strike w:val="0"/>
          <w:szCs w:val="28"/>
          <w:highlight w:val="none"/>
        </w:rPr>
        <w:t xml:space="preserve"> </w:t>
      </w:r>
      <w:r>
        <w:rPr>
          <w:bCs/>
          <w:strike w:val="0"/>
          <w:szCs w:val="28"/>
          <w:highlight w:val="none"/>
        </w:rPr>
      </w:r>
      <w:r>
        <w:rPr>
          <w:bCs/>
          <w:strike w:val="0"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/>
          <w:strike w:val="0"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</w:rPr>
        <w:t xml:space="preserve">Структура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</w:rPr>
        <w:t xml:space="preserve">расходов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</w:rPr>
        <w:t xml:space="preserve">муниципальной программы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</w:rPr>
        <w:t xml:space="preserve">в 2025 году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</w:rPr>
        <w:t xml:space="preserve">представлена в таблице:</w:t>
      </w:r>
      <w:r>
        <w:rPr>
          <w:rFonts w:ascii="Times New Roman" w:hAnsi="Times New Roman" w:cs="Times New Roman"/>
          <w:strike w:val="0"/>
          <w:szCs w:val="28"/>
          <w:highlight w:val="none"/>
        </w:rPr>
      </w:r>
      <w:r>
        <w:rPr>
          <w:rFonts w:ascii="Times New Roman" w:hAnsi="Times New Roman" w:cs="Times New Roman"/>
          <w:strike w:val="0"/>
          <w:szCs w:val="28"/>
          <w:highlight w:val="none"/>
        </w:rPr>
      </w:r>
    </w:p>
    <w:tbl>
      <w:tblPr>
        <w:tblW w:w="97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2027"/>
        <w:gridCol w:w="1517"/>
        <w:gridCol w:w="1134"/>
      </w:tblGrid>
      <w:tr>
        <w:tblPrEx/>
        <w:trPr>
          <w:trHeight w:val="43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Cs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rFonts w:ascii="Times New Roman" w:hAnsi="Times New Roman" w:cs="Times New Roman"/>
                <w:bCs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Cs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trike w:val="0"/>
                <w:sz w:val="24"/>
                <w:szCs w:val="24"/>
                <w:highlight w:val="none"/>
              </w:rPr>
              <w:t xml:space="preserve">Уточненный план, 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sz w:val="24"/>
                <w:szCs w:val="24"/>
                <w:highlight w:val="none"/>
              </w:rPr>
              <w:br/>
            </w: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тыс. рублей</w:t>
            </w:r>
            <w:r>
              <w:rPr>
                <w:rFonts w:ascii="Times New Roman" w:hAnsi="Times New Roman" w:cs="Times New Roman"/>
                <w:bCs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trike/>
                <w:sz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Исполнено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7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тыс. рублей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%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bCs/>
                <w:strike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trike w:val="0"/>
                <w:color w:val="000000"/>
                <w:sz w:val="24"/>
                <w:szCs w:val="24"/>
                <w:highlight w:val="none"/>
              </w:rPr>
              <w:t xml:space="preserve">Расходы  по муниципальной программе всего, в т.ч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000000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000000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bCs/>
                <w:strike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trike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1 093 283,07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1 078 263,17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98,63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vAlign w:val="center"/>
            <w:vMerge w:val="restart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trike w:val="0"/>
                <w:sz w:val="24"/>
                <w:szCs w:val="24"/>
                <w:highlight w:val="none"/>
              </w:rPr>
              <w:t xml:space="preserve">за счет налоговых и неналоговых доходов</w:t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vMerge w:val="restart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990 442,07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vMerge w:val="restart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975 665,87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98,51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trike w:val="0"/>
                <w:sz w:val="24"/>
                <w:szCs w:val="24"/>
                <w:highlight w:val="none"/>
              </w:rPr>
              <w:t xml:space="preserve">за счет межбюджетных трансфертов</w:t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102 841,00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102 597,30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99,76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Комплекс процессных мероприятий «Руководство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округа» (</w:t>
            </w: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за счет налоговых и неналоговых доходов)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702 421,73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688 462,44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98,01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Администрация города Владивостока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15 912,03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15 701,21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98,68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Комплекс процессных мероприятий «Руководство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округа»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15 912,03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15 701,21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98,68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1" w:type="dxa"/>
            <w:textDirection w:val="lrTb"/>
            <w:noWrap w:val="false"/>
          </w:tcPr>
          <w:p>
            <w:pPr>
              <w:ind w:left="142" w:right="143" w:firstLine="0"/>
              <w:jc w:val="both"/>
              <w:spacing w:after="0" w:line="240" w:lineRule="auto"/>
              <w:rPr>
                <w:rFonts w:ascii="Times New Roman" w:hAnsi="Times New Roman"/>
                <w:i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В рамках реализации комплекса процессных мероприятий осуществлялось обеспечение вып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олнения функций муниципального казенного учреждения «Центр развития предпринимательства»: консультационная, образовательная и информационная поддержка субъектов малого и среднего предпринимательства, физических лиц, применяющих специальный налоговый режим.</w:t>
            </w:r>
            <w:r>
              <w:rPr>
                <w:rFonts w:ascii="Times New Roman" w:hAnsi="Times New Roman"/>
                <w:i/>
                <w:strike/>
                <w:sz w:val="24"/>
                <w:highlight w:val="none"/>
              </w:rPr>
            </w:r>
            <w:r>
              <w:rPr>
                <w:rFonts w:ascii="Times New Roman" w:hAnsi="Times New Roman"/>
                <w:i/>
                <w:strike/>
                <w:sz w:val="24"/>
                <w:highlight w:val="none"/>
              </w:rPr>
            </w:r>
          </w:p>
          <w:p>
            <w:pPr>
              <w:ind w:left="142" w:right="143" w:firstLine="0"/>
              <w:jc w:val="both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В течение 202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 года было проведено 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68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 мероприятий в виде бизнес-семинаров, тренингов и круглых столов, которые посетило более 1 тыс. субъектов малого и среднего предпринимательства. Консультационную поддержку получили 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1508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 субъектов малого и среднего предпринимательства (вместе с потенциальными предпринимателями – </w:t>
              <w:br/>
              <w:t xml:space="preserve">1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882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highlight w:val="none"/>
              </w:rPr>
              <w:t xml:space="preserve"> чел.)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Управление финансов администрации города Владивостока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254 689,82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243 301,61 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95,53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Комплекс процессных мероприятий «Руководство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округа»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254 689,82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243 301,61 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95,53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Содержание органов местного самоупр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авления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(в 202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году штатная численность составляла 9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чел.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, фактическая – 8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чел.)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194 480,74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185 081,94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95,17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Реализация муниципальных функций, связанных с общегосударственным управлением (приобретение и обслуживание программных комплексов и оборудования для централизованной работы всех органов администрации города Владивостока и 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муниципальных учреждений города Вл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адивостока, оплата исполнительных листов, предъявляемых к казне города)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60 209,08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58 219,67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96,70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Управление муниципальной собственности г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.В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ладивостока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431 819,88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429 459,62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99,45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Содержание органов местного самоуправления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312 917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,35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310 974,81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99,38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8 610,97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8 610,97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100,00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110 291,56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109 873,84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b050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99,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62</w:t>
            </w:r>
            <w:r>
              <w:rPr>
                <w:rFonts w:ascii="Times New Roman" w:hAnsi="Times New Roman"/>
                <w:strike/>
                <w:color w:val="00b050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b050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1" w:type="dxa"/>
            <w:textDirection w:val="lrTb"/>
            <w:noWrap w:val="false"/>
          </w:tcPr>
          <w:p>
            <w:pPr>
              <w:ind w:left="142" w:right="143" w:firstLine="0"/>
              <w:jc w:val="both"/>
              <w:spacing w:after="0" w:line="240" w:lineRule="auto"/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В рамках реализации комплекса процессных мероприятий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оплачены контракты на оказание услуг по прохождению диспансеризации сотрудниками управления, по ремонту оргтехники и ком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пьютерной техники, почтовых расходов, услуг по обслуживанию ПП «1С», «Земля КТ» и «Управление муниципальным имуществом», «Консультант Плюс», на приобретение знаков почтовой оплаты, обеспечение деятельности подведомственных муниципальных казенных учреждений</w:t>
            </w:r>
            <w:r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Комплекс процессных мероприятий «Обслуживание муниципального долга Владивостокского городского округа» (</w:t>
            </w: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за счет налоговых и неналоговых доходов)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1 502,22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1 370,15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91,21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Управление финансов администрации города Владивостока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1 502,22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1 370,15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91,21</w:t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1" w:type="dxa"/>
            <w:textDirection w:val="lrTb"/>
            <w:noWrap w:val="false"/>
          </w:tcPr>
          <w:p>
            <w:pPr>
              <w:ind w:left="142" w:right="143" w:firstLine="0"/>
              <w:jc w:val="both"/>
              <w:spacing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В рамках реализации комплекса процессных мероприятий: 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142" w:right="143" w:firstLine="0"/>
              <w:jc w:val="both"/>
              <w:spacing w:after="0" w:afterAutospacing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i/>
                <w:strike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trike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производились</w:t>
            </w:r>
            <w:r>
              <w:rPr>
                <w:rFonts w:ascii="Times New Roman" w:hAnsi="Times New Roman" w:eastAsia="Times New Roman" w:cs="Times New Roman"/>
                <w:i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 выплаты процентных платежей по долговым обязательствам Владивостокского городского округа</w:t>
            </w:r>
            <w:r>
              <w:rPr>
                <w:rFonts w:ascii="Times New Roman" w:hAnsi="Times New Roman" w:cs="Times New Roman"/>
                <w:bCs/>
                <w:i/>
                <w:strike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trike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Комплекс процессных мероприятий «Содержание нежилых помещений, зданий имущества казны Владивостокского городского округа» (</w:t>
            </w: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за счет налоговых и неналоговых доходов)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181 359,78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181 049,09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99,83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Управление муниципальной собственности г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.В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ладивостока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181 359,78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181 049,09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99,83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175 253,76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174 943,0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99,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82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Взносы на капитальный ремонт общего имущества в многоквартирных домах за муниципальные помещения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6 106,0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6 106,0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line="240" w:lineRule="auto"/>
              <w:widowControl w:val="off"/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100,0</w:t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/>
                <w:strike/>
                <w:color w:val="000000" w:themeColor="text1"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1" w:type="dxa"/>
            <w:textDirection w:val="lrTb"/>
            <w:noWrap w:val="false"/>
          </w:tcPr>
          <w:p>
            <w:pPr>
              <w:ind w:left="142" w:right="143" w:firstLine="0"/>
              <w:jc w:val="both"/>
              <w:spacing w:after="0" w:line="240" w:lineRule="auto"/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В рамках реализации комплекса процессных мероприятий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производится оплата по исполнительным листам, оплата транспортного налога, НДС, оплачены контракты на оказание охранных услуг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объектов недвижимости, находящихся в муниципальной собственности Владивостокского городского округа, коммунальных платежей по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69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объектам муниципальной собственности, числящимся в казне Владивостокского городского округа, оплата взносов на капитальный ремонт общего имущества в многоквартирных домах за нежилы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муниципальны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помещени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Комплекс процессных мероприятий «Вовлечение муниципального имущества Владивостокского городского округа в экономический оборот» (</w:t>
            </w: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за счет налоговых и неналоговых доходов)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2 317,35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2 173,75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93,80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Управление муниципальной собственности г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.В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ладивостока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2 317,35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2 173,75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93,80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Реализация государственной политики в области приватизации и управления государственной и муниципальной собственностью</w:t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2 317,35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2 173,75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93,80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1" w:type="dxa"/>
            <w:textDirection w:val="lrTb"/>
            <w:noWrap w:val="false"/>
          </w:tcPr>
          <w:p>
            <w:pPr>
              <w:ind w:left="142" w:right="143" w:firstLine="0"/>
              <w:jc w:val="both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i/>
                <w:strike/>
                <w:sz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i/>
                <w:strike w:val="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рамках реализации комплекса процессных мероприятий заключены контракты по оценке рыночной стоимости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71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недвижимости, находящихся в муниципальной собственности Владивостокского городского округа, выполнение кадастровых работ в отношении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96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объектов недвижимости, находящихся в муниципальной собственности Владивостокского городского округа, оценке права аренды в отношении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47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земельных участков, 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выполнены работы по гидрологическому обследованию 3 гидротехнических сооружений парка «Минный городок»</w:t>
            </w:r>
            <w:r>
              <w:rPr>
                <w:rFonts w:ascii="Times New Roman" w:hAnsi="Times New Roman" w:cs="Times New Roman"/>
                <w:i/>
                <w:strike/>
                <w:sz w:val="24"/>
                <w:highlight w:val="yellow"/>
              </w:rPr>
            </w:r>
            <w:r>
              <w:rPr>
                <w:rFonts w:ascii="Times New Roman" w:hAnsi="Times New Roman" w:cs="Times New Roman"/>
                <w:i/>
                <w:strike/>
                <w:sz w:val="24"/>
                <w:highlight w:val="yellow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Комплекс процессных мероприятий «Предоставление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бесплатно» 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000000"/>
                <w:sz w:val="24"/>
                <w:szCs w:val="24"/>
                <w:highlight w:val="none"/>
              </w:rPr>
              <w:t xml:space="preserve">всего, в т.ч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000000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trike w:val="0"/>
                <w:color w:val="000000"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205 682,00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205 207,73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99,77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trike w:val="0"/>
                <w:sz w:val="24"/>
                <w:szCs w:val="24"/>
                <w:highlight w:val="none"/>
              </w:rPr>
              <w:t xml:space="preserve">за счет налоговых и неналоговых доходов</w:t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cs="Times New Roman"/>
                <w:i/>
                <w:strike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trike w:val="0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trike w:val="0"/>
                <w:color w:val="000000"/>
                <w:sz w:val="24"/>
                <w:szCs w:val="24"/>
                <w:highlight w:val="none"/>
              </w:rPr>
              <w:t xml:space="preserve">102 841,00</w:t>
            </w:r>
            <w:r>
              <w:rPr>
                <w:rFonts w:ascii="Times New Roman" w:hAnsi="Times New Roman" w:cs="Times New Roman"/>
                <w:i/>
                <w:strike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trike/>
                <w:color w:val="000000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102 610,44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99,78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trike w:val="0"/>
                <w:sz w:val="24"/>
                <w:szCs w:val="24"/>
                <w:highlight w:val="none"/>
              </w:rPr>
              <w:t xml:space="preserve">за счет межбюджетных трансфертов</w:t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102 841,00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102 597,30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trike w:val="0"/>
                <w:color w:val="000000"/>
                <w:sz w:val="24"/>
                <w:szCs w:val="24"/>
                <w:highlight w:val="none"/>
              </w:rPr>
              <w:t xml:space="preserve">99,76</w:t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trike w:val="0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Управление муниципальной собственности г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.В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ладивостока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205 682,00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205 207,73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99,77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3" w:type="dxa"/>
            <w:textDirection w:val="lrTb"/>
            <w:noWrap w:val="false"/>
          </w:tcPr>
          <w:p>
            <w:pPr>
              <w:ind w:left="142" w:right="143" w:firstLine="0"/>
              <w:jc w:val="lef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color w:val="000000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2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205 682,00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7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205 207,73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142" w:right="143" w:firstLine="0"/>
              <w:jc w:val="right"/>
              <w:spacing w:after="0" w:afterAutospacing="0" w:line="240" w:lineRule="auto"/>
              <w:widowControl w:val="off"/>
              <w:rPr>
                <w:rFonts w:ascii="Times New Roman" w:hAnsi="Times New Roman" w:cs="Times New Roman"/>
                <w:strike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99,77</w:t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:highlight w:val="none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1" w:type="dxa"/>
            <w:textDirection w:val="lrTb"/>
            <w:noWrap w:val="false"/>
          </w:tcPr>
          <w:p>
            <w:pPr>
              <w:ind w:left="142" w:right="143" w:firstLine="0"/>
              <w:jc w:val="both"/>
              <w:spacing w:after="0" w:line="240" w:lineRule="auto"/>
              <w:widowControl w:val="off"/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В рамках реализации комплекса процессных мероприятий принято 224 положительных решения и перечислена единовременная денежная выплата</w:t>
            </w:r>
            <w:r>
              <w:rPr>
                <w:rFonts w:ascii="Times New Roman" w:hAnsi="Times New Roman" w:eastAsia="Times New Roman"/>
                <w:i/>
                <w:color w:val="000000" w:themeColor="text1"/>
                <w:sz w:val="24"/>
                <w:szCs w:val="24"/>
              </w:rPr>
              <w:t xml:space="preserve">  224 семьям, имеющим трех и более детей, взамен предоставления земельного участка в собственность бесплатно</w:t>
            </w:r>
            <w:r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i/>
                <w:strike/>
                <w:color w:val="000000" w:themeColor="text1"/>
                <w:sz w:val="24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trike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r>
      <w:r>
        <w:rPr>
          <w:rFonts w:ascii="Times New Roman" w:hAnsi="Times New Roman" w:cs="Times New Roman"/>
          <w:strike/>
          <w:szCs w:val="28"/>
          <w:highlight w:val="none"/>
        </w:rPr>
      </w:r>
      <w:r>
        <w:rPr>
          <w:rFonts w:ascii="Times New Roman" w:hAnsi="Times New Roman" w:cs="Times New Roman"/>
          <w:strike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/>
          <w:strike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Без финансового обеспечения осуществлялись следующие комплексы процессных мероприятий:</w:t>
      </w:r>
      <w:r>
        <w:rPr>
          <w:rFonts w:ascii="Times New Roman" w:hAnsi="Times New Roman" w:cs="Times New Roman"/>
          <w:strike/>
          <w:szCs w:val="28"/>
          <w:highlight w:val="none"/>
        </w:rPr>
      </w:r>
      <w:r>
        <w:rPr>
          <w:rFonts w:ascii="Times New Roman" w:hAnsi="Times New Roman" w:cs="Times New Roman"/>
          <w:strike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/>
          <w:strike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- «Осуществление внутреннего муниципального финансового контроля»;</w:t>
      </w:r>
      <w:r>
        <w:rPr>
          <w:rFonts w:ascii="Times New Roman" w:hAnsi="Times New Roman" w:cs="Times New Roman"/>
          <w:strike/>
          <w:szCs w:val="28"/>
          <w:highlight w:val="none"/>
        </w:rPr>
      </w:r>
      <w:r>
        <w:rPr>
          <w:rFonts w:ascii="Times New Roman" w:hAnsi="Times New Roman" w:cs="Times New Roman"/>
          <w:strike/>
          <w:szCs w:val="28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-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«Организация проведения работ по землеустройству и землепользованию, комплексных кадастровых работ на территории Владивостокского городского округа»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;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-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«Управление имуществом и земельными ресурсами на территории Владивостокского городского округа»;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</w:r>
    </w:p>
    <w:p>
      <w:pPr>
        <w:ind w:left="0" w:right="0" w:firstLine="709"/>
        <w:jc w:val="both"/>
        <w:spacing w:after="0" w:afterAutospacing="0" w:line="360" w:lineRule="auto"/>
        <w:rPr>
          <w:rFonts w:ascii="Times New Roman" w:hAnsi="Times New Roman" w:cs="Times New Roman"/>
          <w:strike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- «Повышение престижа предпринимательской деятельности, пропаганда и популяризация предпринимательской деятельности»;</w:t>
      </w:r>
      <w:r>
        <w:rPr>
          <w:rFonts w:ascii="Times New Roman" w:hAnsi="Times New Roman" w:cs="Times New Roman"/>
          <w:strike/>
          <w:highlight w:val="none"/>
        </w:rPr>
      </w:r>
      <w:r>
        <w:rPr>
          <w:rFonts w:ascii="Times New Roman" w:hAnsi="Times New Roman" w:cs="Times New Roman"/>
          <w:strike/>
          <w:highlight w:val="none"/>
        </w:rPr>
      </w:r>
    </w:p>
    <w:p>
      <w:pPr>
        <w:rPr>
          <w:strike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en-US"/>
        </w:rPr>
        <w:t xml:space="preserve">- «Оценка эффективности предоставления льгот по земельному налогу резидентам свободного порта Владивосток»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</w:rPr>
        <w:t xml:space="preserve">.</w:t>
      </w:r>
      <w:r>
        <w:rPr>
          <w:strike/>
          <w:highlight w:val="none"/>
        </w:rPr>
      </w:r>
      <w:r>
        <w:rPr>
          <w:strike/>
          <w:highlight w:val="none"/>
        </w:rPr>
      </w:r>
    </w:p>
    <w:p>
      <w:pPr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4"/>
        <w:ind w:right="0" w:firstLine="0"/>
        <w:jc w:val="center"/>
        <w:rPr>
          <w:strike w:val="0"/>
          <w:szCs w:val="28"/>
          <w:highlight w:val="none"/>
        </w:rPr>
      </w:pPr>
      <w:r/>
      <w:bookmarkStart w:id="17" w:name="_Toc16"/>
      <w:r>
        <w:rPr>
          <w:strike w:val="0"/>
          <w:szCs w:val="28"/>
          <w:highlight w:val="none"/>
        </w:rPr>
        <w:t xml:space="preserve">4.1.6. </w:t>
      </w:r>
      <w:r>
        <w:rPr>
          <w:strike w:val="0"/>
          <w:szCs w:val="28"/>
          <w:highlight w:val="none"/>
        </w:rPr>
        <w:t xml:space="preserve">Муниципальная программа «Архитектура и строительство»</w:t>
      </w:r>
      <w:r>
        <w:rPr>
          <w:strike w:val="0"/>
          <w:szCs w:val="28"/>
          <w:highlight w:val="none"/>
        </w:rPr>
      </w:r>
      <w:bookmarkEnd w:id="17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firstLine="720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«Архитектура и строительство» утверждена постановлением администрации города Владивостока от 20.09.2023 № 2399.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Ответственный исполнитель муниципальной программы – управление архитектуры и строительства объектов Владивостокского городского округа администрации города Владивостока. 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Соисполнители</w:t>
      </w:r>
      <w:r>
        <w:rPr>
          <w:strike w:val="0"/>
          <w:szCs w:val="28"/>
          <w:highlight w:val="none"/>
        </w:rPr>
        <w:t xml:space="preserve"> муниципальной программы</w:t>
      </w:r>
      <w:r>
        <w:rPr>
          <w:strike w:val="0"/>
          <w:szCs w:val="28"/>
          <w:highlight w:val="none"/>
        </w:rPr>
        <w:t xml:space="preserve">: 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firstLine="708"/>
        <w:spacing w:line="360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- управление по учету и распределению жилой площади администрации города Владивостока; 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firstLine="708"/>
        <w:spacing w:line="360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- управление по вопросам топливно-энергетического комплекса администрации города Владивостока; 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firstLine="708"/>
        <w:spacing w:line="360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- управление содержания жилищного фонда администрации города Владивостока; 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firstLine="708"/>
        <w:spacing w:line="360" w:lineRule="auto"/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- управление градостроительства администрации города Владивостока.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tabs>
          <w:tab w:val="left" w:pos="85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Объем средств бюджета Владивостокского городского округа на финансирование мероприятий муниципальной программы в 202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году представлен в следующей таблице:</w:t>
      </w:r>
      <w:r>
        <w:rPr>
          <w:szCs w:val="28"/>
          <w:highlight w:val="none"/>
        </w:rPr>
      </w:r>
      <w:r/>
    </w:p>
    <w:tbl>
      <w:tblPr>
        <w:tblStyle w:val="769"/>
        <w:tblW w:w="0" w:type="auto"/>
        <w:tblInd w:w="108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34"/>
        <w:gridCol w:w="2092"/>
        <w:gridCol w:w="1525"/>
        <w:gridCol w:w="1134"/>
      </w:tblGrid>
      <w:tr>
        <w:tblPrEx/>
        <w:trPr>
          <w:trHeight w:val="13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Источник финансирования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before="0" w:after="0"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Уточненный план </w:t>
              <w:br/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Исполнено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1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%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color w:val="auto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highlight w:val="white"/>
              </w:rPr>
              <w:t xml:space="preserve">Всего расходов, в том числе за счет: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left="-104"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776 442,0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5" w:type="dxa"/>
            <w:vAlign w:val="center"/>
            <w:vMerge w:val="restart"/>
            <w:textDirection w:val="lrTb"/>
            <w:noWrap w:val="false"/>
          </w:tcPr>
          <w:p>
            <w:pPr>
              <w:ind w:left="-104"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755 032,0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4"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97,24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highlight w:val="white"/>
              </w:rPr>
              <w:t xml:space="preserve">налоговых и неналоговых доходов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455 686,22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434 276,27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95,30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highlight w:val="white"/>
              </w:rPr>
              <w:t xml:space="preserve">межбюджетных трансфертов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320 755,82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320 755,73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100,00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</w:rPr>
            </w:r>
          </w:p>
        </w:tc>
      </w:tr>
    </w:tbl>
    <w:p>
      <w:pPr>
        <w:ind w:firstLine="708"/>
        <w:rPr>
          <w:strike w:val="0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spacing w:line="384" w:lineRule="auto"/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в 2025 году представлена в таблице: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W w:w="9789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5038"/>
        <w:gridCol w:w="2092"/>
        <w:gridCol w:w="1559"/>
        <w:gridCol w:w="1100"/>
      </w:tblGrid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направления расходования средств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-106" w:right="-110"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Уточненный план,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тыс. рублей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bCs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Исполнено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7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тыс. рублей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Расходы по муниципальной программе всего, в том числе за счет: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left="-104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776 442,0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4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755 032,0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left="-104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97,24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Подпрограмма «Обеспечение жильем молодых семей в городе Владивостоке»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170 464,89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170 300,41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99,90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«Организация предоставления социальных выплат на приобретение жилого помещения или строительство индивидуального жилого дома молодым семьям»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170 464,89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170 300,41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99,90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9" w:type="dxa"/>
            <w:vAlign w:val="center"/>
            <w:textDirection w:val="lrTb"/>
            <w:noWrap w:val="false"/>
          </w:tcPr>
          <w:p>
            <w:pPr>
              <w:ind w:right="-109" w:firstLine="0"/>
              <w:jc w:val="both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Социальные выплаты для приобретения (строительства)  стандартного жилья перечислены 4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молодым семьям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</w:tc>
      </w:tr>
      <w:tr>
        <w:tblPrEx/>
        <w:trPr>
          <w:trHeight w:val="1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9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Подпрограмма «Переселение граждан из аварийного жилищного фонда Владивостокского городского округа»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185 244,52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185 244,52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100,00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94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9" w:firstLine="0"/>
              <w:jc w:val="left"/>
              <w:spacing w:line="240" w:lineRule="auto"/>
              <w:rPr>
                <w:rFonts w:ascii="Times New Roman" w:hAnsi="Times New Roman" w:cs="Times New Roman"/>
                <w:strike/>
                <w:sz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Муниципальный проект «Федеральный проект «Обеспечение устойчивого сокращения непригодного для проживания жилищного фонда»</w:t>
            </w:r>
            <w:r>
              <w:rPr>
                <w:rFonts w:ascii="Times New Roman" w:hAnsi="Times New Roman" w:cs="Times New Roman"/>
                <w:strike/>
                <w:sz w:val="24"/>
                <w14:ligatures w14:val="none"/>
              </w:rPr>
            </w:r>
            <w:r>
              <w:rPr>
                <w:rFonts w:ascii="Times New Roman" w:hAnsi="Times New Roman" w:cs="Times New Roman"/>
                <w:strike/>
                <w:sz w:val="24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185 244,52</w:t>
            </w:r>
            <w:r>
              <w:rPr>
                <w:rFonts w:ascii="Times New Roman" w:hAnsi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185 244,52</w:t>
            </w:r>
            <w:r>
              <w:rPr>
                <w:rFonts w:ascii="Times New Roman" w:hAnsi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100,00</w:t>
            </w:r>
            <w:r>
              <w:rPr>
                <w:rFonts w:ascii="Times New Roman" w:hAnsi="Times New Roman" w:cs="Times New Roman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highlight w:val="none"/>
              </w:rPr>
            </w:r>
          </w:p>
        </w:tc>
      </w:tr>
      <w:tr>
        <w:tblPrEx/>
        <w:trPr>
          <w:trHeight w:val="38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9" w:type="dxa"/>
            <w:vAlign w:val="center"/>
            <w:textDirection w:val="lrTb"/>
            <w:noWrap w:val="false"/>
          </w:tcPr>
          <w:p>
            <w:pPr>
              <w:ind w:right="-109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Средства направлены на оплату работ по строительству объектов «Группа жилых домов в районе ул. Русская, 57 в г. Владивостоке  (4 дома)»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9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Подпрограмма «Стимулирование развития жилищного строительства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45 492,03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35 337,22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77,68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09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 Комплекс процессных мероприятий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Обеспечение земельных участков, предоставленных на бесплатной основе гражданам, 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еющим трех и более детей,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коммунальной и дорожной инфраструктурой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45 492,03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35 337,22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right="-109"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77,68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8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9" w:type="dxa"/>
            <w:vAlign w:val="center"/>
            <w:textDirection w:val="lrTb"/>
            <w:noWrap w:val="false"/>
          </w:tcPr>
          <w:p>
            <w:pPr>
              <w:contextualSpacing/>
              <w:ind w:left="0" w:right="-69" w:firstLine="0"/>
              <w:jc w:val="both"/>
              <w:spacing w:line="240" w:lineRule="auto"/>
              <w:widowControl w:val="o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Средства направлены: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69" w:firstLine="0"/>
              <w:jc w:val="both"/>
              <w:spacing w:line="240" w:lineRule="auto"/>
              <w:widowControl w:val="off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на возмещение затрат по выполненному технологическому присоединению к централизованной системе водоснабжения земельного участка по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Анютинская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ind w:left="0" w:right="-69" w:firstLine="0"/>
              <w:jc w:val="both"/>
              <w:spacing w:line="240" w:lineRule="auto"/>
              <w:widowControl w:val="off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на выполнение работ по объекту: «Дорожная инфраструктура (подъездные автомобильные дороги) к земельным участкам, предоставленным на бесплатной основе гражданам, имеющим трех и более детей в районе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Артековская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9 г. Владивостоке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 </w:t>
              <w:br/>
              <w:t xml:space="preserve">с.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Береговое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г. Владивостоке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б. Лазурная в г. Владивосток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6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textDirection w:val="lrTb"/>
            <w:noWrap w:val="false"/>
          </w:tcPr>
          <w:p>
            <w:pPr>
              <w:ind w:right="-112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Подпрограмма «Управление в сфере развития градостроительной, архитектурной и землеустроительной деятельности на территории Владивостокского городского округа»: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375 240,60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364 149,85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right"/>
              <w:spacing w:line="240" w:lineRule="auto"/>
              <w:widowControl w:val="off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97,04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12" w:firstLine="0"/>
              <w:jc w:val="left"/>
              <w:spacing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4.1 Комплекс процессных мероприятий «Обеспечение развития градостроительной, архитектурной и землеустроительной деятельности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6 242,09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6 192,65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99,21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9" w:type="dxa"/>
            <w:textDirection w:val="lrTb"/>
            <w:noWrap w:val="false"/>
          </w:tcPr>
          <w:p>
            <w:pPr>
              <w:contextualSpacing/>
              <w:ind w:right="-112"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ыполнены работы по демонтажу (сносу) самовольной постройки (нежилого здания - торговый павильон) в районе ул. Тухачевского, д. 52 в городе Владивостоке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</w:tc>
      </w:tr>
      <w:tr>
        <w:tblPrEx/>
        <w:trPr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right="-112"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4.2 Комплекс процессных мероприятий «Проектирование, реконструкция, капитальный ремонт объектов муниципальной собственности Владивостокского городского округа»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6 936,62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1 684,63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24,29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62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  <w:t xml:space="preserve">Реконструкция здания «Матросского клуба» в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</w:rPr>
              <w:t xml:space="preserve">г. Владивосток в целях создания центра креативных индустрий»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 Комплекс проце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ссных 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ероприятий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Выполнение функций органами администрации города Владивостока и муниципальными казенными учреждениями в части строительной, градостроительной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землеустроительной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333 836,10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328 046,78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98,27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4.3.1 обеспечение выполнения функций управления архитектуры и строительства объектов Владивостокского городского округа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администрации города Владивостока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44 748,06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42 658,11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95,33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4.3.2 Обеспечение выполнения функций муниципального казенного учреждения «Дирекция капитального строительства Владивостокского городского округа»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92 005,17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91 887,36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99,87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4.3.3 обеспечение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выполнения функций управления градостроительства администрации города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Владивостока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163 927,24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160 809,59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color w:val="ffffff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98,10</w:t>
            </w:r>
            <w:r>
              <w:rPr>
                <w:rFonts w:ascii="Times New Roman" w:hAnsi="Times New Roman" w:cs="Times New Roman"/>
                <w:color w:val="ffffff"/>
                <w:sz w:val="24"/>
              </w:rPr>
            </w:r>
            <w:r>
              <w:rPr>
                <w:rFonts w:ascii="Times New Roman" w:hAnsi="Times New Roman" w:cs="Times New Roman"/>
                <w:color w:val="ffffff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4.3.4 обеспечение выполнения функций муниципального казенного учреждения «Градостроительное планирование территорий»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33 155,63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32 691,72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98,60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4.4. Комплекс процессных мероприятий «Обеспечение деятельности бюджетного учреждения по оказанию муниципальных услуг (выполнение работ)»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28 225,79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28 225,79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100,00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p>
      <w:pPr>
        <w:ind w:firstLine="0"/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-57" w:firstLine="0"/>
        <w:jc w:val="center"/>
        <w:rPr>
          <w:rFonts w:eastAsia="Calibri"/>
          <w:strike w:val="0"/>
          <w:highlight w:val="none"/>
        </w:rPr>
      </w:pPr>
      <w:r/>
      <w:bookmarkStart w:id="18" w:name="_Toc17"/>
      <w:r>
        <w:rPr>
          <w:strike w:val="0"/>
          <w:highlight w:val="none"/>
        </w:rPr>
        <w:t xml:space="preserve">4.1.7. </w:t>
      </w:r>
      <w:r>
        <w:rPr>
          <w:strike w:val="0"/>
          <w:highlight w:val="none"/>
        </w:rPr>
        <w:t xml:space="preserve">Муниципальная программа «Культура Владивостока</w:t>
      </w:r>
      <w:r>
        <w:rPr>
          <w:rFonts w:eastAsia="Calibri"/>
          <w:strike w:val="0"/>
          <w:highlight w:val="none"/>
        </w:rPr>
        <w:t xml:space="preserve">»</w:t>
      </w:r>
      <w:r>
        <w:rPr>
          <w:rFonts w:eastAsia="Calibri"/>
          <w:strike w:val="0"/>
          <w:highlight w:val="none"/>
        </w:rPr>
      </w:r>
      <w:bookmarkEnd w:id="18"/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rPr>
          <w:rFonts w:eastAsia="Calibri"/>
          <w:strike w:val="0"/>
          <w:szCs w:val="20"/>
          <w:highlight w:val="green"/>
        </w:rPr>
      </w:pPr>
      <w:r>
        <w:rPr>
          <w:rFonts w:eastAsia="Calibri"/>
          <w:strike w:val="0"/>
          <w:szCs w:val="20"/>
          <w:highlight w:val="green"/>
          <w:lang w:eastAsia="en-US"/>
        </w:rPr>
      </w:r>
      <w:r>
        <w:rPr>
          <w:rFonts w:eastAsia="Calibri"/>
          <w:strike w:val="0"/>
          <w:szCs w:val="20"/>
          <w:highlight w:val="green"/>
        </w:rPr>
      </w:r>
      <w:r>
        <w:rPr>
          <w:rFonts w:eastAsia="Calibri"/>
          <w:strike w:val="0"/>
          <w:szCs w:val="20"/>
          <w:highlight w:val="green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«Культура Владивостока» утверждена постановлением администрации города Владивостока от 11.09.2023 № 2295.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contextualSpacing/>
        <w:spacing w:line="384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Ответственный исполнитель муниципальной программы</w:t>
      </w:r>
      <w:r>
        <w:rPr>
          <w:strike w:val="0"/>
          <w:szCs w:val="28"/>
          <w:highlight w:val="none"/>
        </w:rPr>
        <w:t xml:space="preserve"> - </w:t>
      </w:r>
      <w:r>
        <w:rPr>
          <w:strike w:val="0"/>
          <w:szCs w:val="28"/>
          <w:highlight w:val="none"/>
        </w:rPr>
        <w:t xml:space="preserve">управление культуры администрации города Владивостока.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84" w:lineRule="auto"/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в 2025 году представлена в таблице: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W w:w="9804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5009"/>
        <w:gridCol w:w="2093"/>
        <w:gridCol w:w="1559"/>
        <w:gridCol w:w="1134"/>
        <w:gridCol w:w="9"/>
      </w:tblGrid>
      <w:tr>
        <w:tblPrEx/>
        <w:trPr>
          <w:trHeight w:val="55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0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bCs/>
                <w:color w:val="auto"/>
                <w:highlight w:val="none"/>
              </w:rPr>
            </w:pPr>
            <w:r>
              <w:rPr>
                <w:strike w:val="0"/>
                <w:color w:val="auto"/>
                <w:sz w:val="24"/>
                <w:szCs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bCs/>
                <w:color w:val="auto"/>
                <w:highlight w:val="none"/>
              </w:rPr>
            </w:r>
            <w:r>
              <w:rPr>
                <w:bCs/>
                <w:color w:val="auto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2093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bCs/>
                <w:strike/>
                <w:sz w:val="24"/>
                <w:highlight w:val="none"/>
              </w:rPr>
            </w:pPr>
            <w:r>
              <w:rPr>
                <w:bCs/>
                <w:strike w:val="0"/>
                <w:sz w:val="24"/>
                <w:highlight w:val="none"/>
              </w:rPr>
              <w:t xml:space="preserve">Уточненный план</w:t>
            </w:r>
            <w:r>
              <w:rPr>
                <w:bCs/>
                <w:strike w:val="0"/>
                <w:sz w:val="24"/>
                <w:highlight w:val="none"/>
              </w:rPr>
              <w:t xml:space="preserve">, </w:t>
            </w:r>
            <w:r>
              <w:rPr>
                <w:bCs/>
                <w:strike w:val="0"/>
                <w:sz w:val="24"/>
                <w:highlight w:val="none"/>
              </w:rPr>
              <w:br/>
            </w:r>
            <w:r>
              <w:rPr>
                <w:strike w:val="0"/>
                <w:sz w:val="24"/>
                <w:highlight w:val="none"/>
              </w:rPr>
              <w:t xml:space="preserve">тыс. рублей</w:t>
            </w:r>
            <w:r>
              <w:rPr>
                <w:bCs/>
                <w:strike/>
                <w:sz w:val="24"/>
                <w:highlight w:val="none"/>
              </w:rPr>
            </w:r>
            <w:r>
              <w:rPr>
                <w:bCs/>
                <w:strike/>
                <w:sz w:val="24"/>
                <w:highlight w:val="non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7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Исполнено</w:t>
            </w:r>
            <w:r>
              <w:rPr>
                <w:strike/>
                <w:sz w:val="24"/>
                <w:highlight w:val="none"/>
              </w:rPr>
            </w:r>
            <w:r>
              <w:rPr>
                <w:strike/>
                <w:sz w:val="24"/>
                <w:highlight w:val="none"/>
              </w:rPr>
            </w:r>
          </w:p>
        </w:tc>
      </w:tr>
      <w:tr>
        <w:tblPrEx/>
        <w:trPr>
          <w:trHeight w:val="70"/>
          <w:tblHeader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тыс. рублей</w:t>
            </w:r>
            <w:r>
              <w:rPr>
                <w:strike/>
                <w:sz w:val="24"/>
                <w:highlight w:val="none"/>
              </w:rPr>
            </w:r>
            <w:r>
              <w:rPr>
                <w:strike/>
                <w:sz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%</w:t>
            </w:r>
            <w:r>
              <w:rPr>
                <w:strike/>
                <w:sz w:val="24"/>
                <w:highlight w:val="none"/>
              </w:rPr>
            </w:r>
            <w:r>
              <w:rPr>
                <w:strike/>
                <w:sz w:val="24"/>
                <w:highlight w:val="none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Расходы всего, в том числе за счет: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1 023 014,83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1 021 419,09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99,84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налоговых и неналоговых доходов и </w:t>
              <w:br/>
              <w:t xml:space="preserve">дотации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1 005 903,03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1 004 307,29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99,84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309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межбюджетных трансфертов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17 111,80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17 111,80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100,00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9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1. </w:t>
            </w:r>
            <w:r>
              <w:rPr>
                <w:color w:val="auto"/>
                <w:sz w:val="24"/>
                <w:szCs w:val="24"/>
              </w:rPr>
              <w:t xml:space="preserve">Подпрограмма «Сохранение, использование и популяризация объектов культурного наследия (памятников истории и культуры) и скульптур, посвященных историческим событиям и выдающимся личностям»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19 698,89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18 481,05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93,82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9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1.1 </w:t>
            </w:r>
            <w:r>
              <w:rPr>
                <w:color w:val="auto"/>
                <w:sz w:val="24"/>
                <w:szCs w:val="24"/>
              </w:rPr>
              <w:t xml:space="preserve">Комплекс процесс</w:t>
            </w:r>
            <w:r>
              <w:rPr>
                <w:color w:val="auto"/>
                <w:sz w:val="24"/>
                <w:szCs w:val="24"/>
              </w:rPr>
              <w:t xml:space="preserve">ных мероприятий «Охрана, сохранение и популяризация объектов культурного наследия (памятников истории и культуры): произведений монументального искусства и отдельных захоронений, находящихся в муниципальной собственности Владивостокского городского округа»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11 959,89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11 959,89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100,00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988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комплекса мероприятий: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- </w:t>
            </w:r>
            <w:r>
              <w:rPr>
                <w:i/>
                <w:color w:val="auto"/>
                <w:sz w:val="24"/>
                <w:szCs w:val="24"/>
              </w:rPr>
              <w:t xml:space="preserve">п</w:t>
            </w:r>
            <w:r>
              <w:rPr>
                <w:i/>
                <w:color w:val="auto"/>
                <w:sz w:val="24"/>
                <w:szCs w:val="24"/>
              </w:rPr>
              <w:t xml:space="preserve">роведены периодические реставрационные работы на </w:t>
            </w:r>
            <w:r>
              <w:rPr>
                <w:i/>
                <w:color w:val="auto"/>
                <w:sz w:val="24"/>
                <w:szCs w:val="24"/>
              </w:rPr>
              <w:t xml:space="preserve">45-ти </w:t>
            </w:r>
            <w:r>
              <w:rPr>
                <w:i/>
                <w:color w:val="auto"/>
                <w:sz w:val="24"/>
                <w:szCs w:val="24"/>
              </w:rPr>
              <w:t xml:space="preserve">объектах культурного наследия</w:t>
            </w:r>
            <w:r>
              <w:rPr>
                <w:i/>
                <w:color w:val="auto"/>
                <w:sz w:val="24"/>
                <w:szCs w:val="24"/>
              </w:rPr>
              <w:t xml:space="preserve">;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rFonts w:eastAsiaTheme="minorHAnsi"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-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выполнены </w:t>
            </w:r>
            <w:r>
              <w:rPr>
                <w:i/>
                <w:color w:val="auto"/>
                <w:sz w:val="24"/>
                <w:szCs w:val="24"/>
              </w:rPr>
              <w:t xml:space="preserve">р</w:t>
            </w:r>
            <w:r>
              <w:rPr>
                <w:i/>
                <w:color w:val="auto"/>
                <w:sz w:val="24"/>
                <w:szCs w:val="24"/>
              </w:rPr>
              <w:t xml:space="preserve">еставрационные работы участков мемориального комплекса «Боевая Слава ТОФ»</w:t>
            </w:r>
            <w:r>
              <w:rPr>
                <w:i/>
                <w:color w:val="auto"/>
                <w:sz w:val="24"/>
                <w:szCs w:val="24"/>
              </w:rPr>
              <w:t xml:space="preserve">;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color w:val="auto"/>
              </w:rPr>
            </w:r>
            <w:r>
              <w:rPr>
                <w:rFonts w:eastAsiaTheme="minorHAnsi"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проведена </w:t>
            </w:r>
            <w:r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р</w:t>
            </w:r>
            <w:r>
              <w:rPr>
                <w:i/>
                <w:color w:val="auto"/>
                <w:sz w:val="24"/>
                <w:szCs w:val="24"/>
              </w:rPr>
              <w:t xml:space="preserve">еставрация объекта культурного наследия – Бюст М.И.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Кутузова </w:t>
              <w:br/>
              <w:t xml:space="preserve">(ул. Русская,41)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;</w:t>
            </w:r>
            <w:r>
              <w:rPr>
                <w:rFonts w:eastAsiaTheme="minorHAnsi"/>
                <w:color w:val="auto"/>
              </w:rPr>
            </w:r>
            <w:r>
              <w:rPr>
                <w:rFonts w:eastAsiaTheme="minorHAnsi"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rFonts w:eastAsiaTheme="minorHAnsi"/>
                <w:color w:val="auto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  <w:t xml:space="preserve">в</w:t>
            </w:r>
            <w:r>
              <w:rPr>
                <w:i/>
                <w:color w:val="auto"/>
                <w:sz w:val="24"/>
                <w:szCs w:val="24"/>
              </w:rPr>
              <w:t xml:space="preserve">ыполнены ремонтно-реставрационные работы на обелиске курсантам ТОВВМУ, поги</w:t>
            </w:r>
            <w:r>
              <w:rPr>
                <w:i/>
                <w:color w:val="auto"/>
                <w:sz w:val="24"/>
                <w:szCs w:val="24"/>
              </w:rPr>
              <w:t xml:space="preserve">бшим в годы ВОВ (</w:t>
            </w:r>
            <w:r>
              <w:rPr>
                <w:i/>
                <w:color w:val="auto"/>
                <w:sz w:val="24"/>
                <w:szCs w:val="24"/>
              </w:rPr>
              <w:t xml:space="preserve">Камский</w:t>
            </w:r>
            <w:r>
              <w:rPr>
                <w:i/>
                <w:color w:val="auto"/>
                <w:sz w:val="24"/>
                <w:szCs w:val="24"/>
              </w:rPr>
              <w:t xml:space="preserve"> пер,7);</w:t>
            </w:r>
            <w:r>
              <w:rPr>
                <w:rFonts w:eastAsiaTheme="minorHAnsi"/>
                <w:color w:val="auto"/>
              </w:rPr>
            </w:r>
            <w:r>
              <w:rPr>
                <w:rFonts w:eastAsiaTheme="minorHAnsi"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auto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п</w:t>
            </w:r>
            <w:r>
              <w:rPr>
                <w:i/>
                <w:color w:val="auto"/>
                <w:sz w:val="24"/>
                <w:szCs w:val="24"/>
              </w:rPr>
              <w:t xml:space="preserve">роведена реставрация объекта культурного наследия</w:t>
            </w:r>
            <w:r>
              <w:rPr>
                <w:b/>
                <w:i/>
                <w:color w:val="auto"/>
                <w:sz w:val="24"/>
                <w:szCs w:val="24"/>
              </w:rPr>
              <w:t xml:space="preserve"> – </w:t>
            </w:r>
            <w:r>
              <w:rPr>
                <w:i/>
                <w:color w:val="auto"/>
                <w:sz w:val="24"/>
                <w:szCs w:val="24"/>
              </w:rPr>
              <w:t xml:space="preserve">Могила участника </w:t>
            </w:r>
            <w:r>
              <w:rPr>
                <w:i/>
                <w:color w:val="auto"/>
                <w:sz w:val="24"/>
                <w:szCs w:val="24"/>
              </w:rPr>
              <w:t xml:space="preserve">Цусимского</w:t>
            </w:r>
            <w:r>
              <w:rPr>
                <w:i/>
                <w:color w:val="auto"/>
                <w:sz w:val="24"/>
                <w:szCs w:val="24"/>
              </w:rPr>
              <w:t xml:space="preserve"> боя А.В. </w:t>
            </w:r>
            <w:r>
              <w:rPr>
                <w:i/>
                <w:color w:val="auto"/>
                <w:sz w:val="24"/>
                <w:szCs w:val="24"/>
              </w:rPr>
              <w:t xml:space="preserve">Ключегорского</w:t>
            </w:r>
            <w:r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(Морское кладбище, 1-й участок);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rFonts w:eastAsiaTheme="minorHAnsi"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-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п</w:t>
            </w:r>
            <w:r>
              <w:rPr>
                <w:i/>
                <w:color w:val="auto"/>
                <w:sz w:val="24"/>
                <w:szCs w:val="24"/>
              </w:rPr>
              <w:t xml:space="preserve">роведена установка информационных надписей на памятниках: Кутузову, </w:t>
            </w:r>
            <w:r>
              <w:rPr>
                <w:i/>
                <w:color w:val="auto"/>
                <w:sz w:val="24"/>
                <w:szCs w:val="24"/>
              </w:rPr>
              <w:t xml:space="preserve">Давыдову</w:t>
            </w:r>
            <w:r>
              <w:rPr>
                <w:i/>
                <w:color w:val="auto"/>
                <w:sz w:val="24"/>
                <w:szCs w:val="24"/>
              </w:rPr>
              <w:t xml:space="preserve">, Багратиону (ул. Русская, 27,41, ул. Бородинская, 90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);</w:t>
            </w:r>
            <w:r>
              <w:rPr>
                <w:rFonts w:eastAsiaTheme="minorHAnsi"/>
                <w:color w:val="auto"/>
              </w:rPr>
            </w:r>
            <w:r>
              <w:rPr>
                <w:rFonts w:eastAsiaTheme="minorHAnsi"/>
                <w:color w:val="auto"/>
              </w:rPr>
            </w:r>
          </w:p>
          <w:p>
            <w:pPr>
              <w:ind w:left="0" w:right="0" w:firstLine="709"/>
              <w:spacing w:line="240" w:lineRule="auto"/>
              <w:rPr>
                <w:bCs/>
                <w:color w:val="auto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- </w:t>
            </w:r>
            <w:r>
              <w:rPr>
                <w:i/>
                <w:color w:val="auto"/>
                <w:sz w:val="24"/>
                <w:szCs w:val="24"/>
              </w:rPr>
              <w:t xml:space="preserve">и</w:t>
            </w:r>
            <w:r>
              <w:rPr>
                <w:i/>
                <w:color w:val="auto"/>
                <w:sz w:val="24"/>
                <w:szCs w:val="24"/>
              </w:rPr>
              <w:t xml:space="preserve">зготовлена и установлена</w:t>
            </w:r>
            <w:r>
              <w:rPr>
                <w:i/>
                <w:color w:val="auto"/>
                <w:sz w:val="24"/>
                <w:szCs w:val="24"/>
              </w:rPr>
              <w:t xml:space="preserve"> мемориальная доска</w:t>
            </w:r>
            <w:r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Герою РФ Днепровскому А.В.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  <w:br/>
              <w:t xml:space="preserve">(о. Русский, ул. Зеленая,2)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1.2 </w:t>
            </w:r>
            <w:r>
              <w:rPr>
                <w:color w:val="auto"/>
                <w:sz w:val="24"/>
                <w:szCs w:val="24"/>
              </w:rPr>
              <w:t xml:space="preserve">Комплекс процессных мероприятий «Организация газоснабжения объектов культурного наследия (памятников истории и культуры), находящихся в муниципальной собственности ВГО»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3 900,06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2 682,22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68,77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bCs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комплекса мероприятий выплачивалась субсидия на возмещение затрат в связи с организацией газоснабжения объектов культурного наследия, находящихся в муниципальной собственности города Владивостока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9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1.3 </w:t>
            </w:r>
            <w:r>
              <w:rPr>
                <w:color w:val="auto"/>
                <w:sz w:val="24"/>
                <w:szCs w:val="24"/>
              </w:rPr>
              <w:t xml:space="preserve">Комплекс процессных мероприятий «</w:t>
            </w:r>
            <w:r>
              <w:rPr>
                <w:color w:val="auto"/>
                <w:sz w:val="24"/>
                <w:szCs w:val="24"/>
              </w:rPr>
              <w:t xml:space="preserve">Обеспечение сохранности скульптур, посвященных историческим событиям и выдающимся личностям, не являющихся объектами культурного наследия, находящихся в муниципальной собственности ВГО</w:t>
            </w:r>
            <w:r>
              <w:rPr>
                <w:color w:val="auto"/>
                <w:sz w:val="24"/>
                <w:szCs w:val="24"/>
              </w:rPr>
              <w:t xml:space="preserve">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3 838,95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3 838,95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комплекса мероприятий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выполнены рабо</w:t>
            </w:r>
            <w:r>
              <w:rPr>
                <w:i/>
                <w:color w:val="auto"/>
                <w:sz w:val="24"/>
                <w:szCs w:val="24"/>
              </w:rPr>
              <w:t xml:space="preserve">ты по обеспечению сохранности 36</w:t>
            </w:r>
            <w:r>
              <w:rPr>
                <w:i/>
                <w:color w:val="auto"/>
                <w:sz w:val="24"/>
                <w:szCs w:val="24"/>
              </w:rPr>
              <w:t xml:space="preserve">-х скульптур,</w:t>
            </w:r>
            <w:r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посвященных историческим событиям и выдающимся личностям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1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 Подпрограмма «Создание условий для развития культуры, искусства и дополнительного образования в сфере культуры в городе Владивостоке»: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1 003 315,93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1 002 938,04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99,96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2.1. Комплекс процессных мероприятий «Реализация дополнительных предпрофессиональных программ в области искусств и оснащение образовательных учреждений в сфере культуры музыкальными инструментами и художественным инвентарем»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496 549,84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496 549,84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комплекса мероприятий функционировало 10 муниципальных бюджетных образовательных учреждений дополнительного образования детей, детских музыкальных, художественных школ и школ искусств, в которых обучалось 3 670 детей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2.2. </w:t>
            </w:r>
            <w:r>
              <w:rPr>
                <w:color w:val="auto"/>
                <w:sz w:val="24"/>
                <w:szCs w:val="24"/>
              </w:rPr>
              <w:t xml:space="preserve">Комплекс процессных мероприятий «Назначение и вручение стипендий города Владивостока одаренным детям, обучающимся в детских школах искусств ВГО, и детским творческим коллективам детских школ искусств ВГО по итогам учебного года»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525,00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525,00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32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комплекса мероприятий в 202</w:t>
            </w:r>
            <w:r>
              <w:rPr>
                <w:i/>
                <w:color w:val="auto"/>
                <w:sz w:val="24"/>
                <w:szCs w:val="24"/>
              </w:rPr>
              <w:t xml:space="preserve">5 </w:t>
            </w:r>
            <w:r>
              <w:rPr>
                <w:i/>
                <w:color w:val="auto"/>
                <w:sz w:val="24"/>
                <w:szCs w:val="24"/>
              </w:rPr>
              <w:t xml:space="preserve">году вручены стипендии 25 учащим</w:t>
            </w:r>
            <w:r>
              <w:rPr>
                <w:i/>
                <w:color w:val="auto"/>
                <w:sz w:val="24"/>
                <w:szCs w:val="24"/>
              </w:rPr>
              <w:t xml:space="preserve">ся детских школ искусств и 3 творчески</w:t>
            </w:r>
            <w:r>
              <w:rPr>
                <w:i/>
                <w:color w:val="auto"/>
                <w:sz w:val="24"/>
                <w:szCs w:val="24"/>
              </w:rPr>
              <w:t xml:space="preserve">м</w:t>
            </w:r>
            <w:r>
              <w:rPr>
                <w:i/>
                <w:color w:val="auto"/>
                <w:sz w:val="24"/>
                <w:szCs w:val="24"/>
              </w:rPr>
              <w:t xml:space="preserve"> коллектива</w:t>
            </w:r>
            <w:r>
              <w:rPr>
                <w:i/>
                <w:color w:val="auto"/>
                <w:sz w:val="24"/>
                <w:szCs w:val="24"/>
              </w:rPr>
              <w:t xml:space="preserve">м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5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2.3. </w:t>
            </w:r>
            <w:r>
              <w:rPr>
                <w:color w:val="auto"/>
                <w:sz w:val="24"/>
                <w:szCs w:val="24"/>
              </w:rPr>
              <w:t xml:space="preserve">Комплекс процессных мероприятий «Организация деятельности клубных формирований и формирований самодеятельного народного творчества»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34 432,66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34 432,66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100,00</w:t>
            </w:r>
            <w:r>
              <w:rPr>
                <w:bCs/>
                <w:color w:val="auto"/>
              </w:rPr>
            </w:r>
            <w:r>
              <w:rPr>
                <w:bCs/>
                <w:color w:val="auto"/>
              </w:rPr>
            </w:r>
          </w:p>
        </w:tc>
      </w:tr>
      <w:tr>
        <w:tblPrEx/>
        <w:trPr>
          <w:gridAfter w:val="1"/>
          <w:trHeight w:val="549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tabs>
                <w:tab w:val="left" w:pos="709" w:leader="none"/>
                <w:tab w:val="left" w:pos="851" w:leader="none"/>
              </w:tabs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Предоставлением услуг в рамках комплекса мероприятий занималось муниципальное бюджетное учреждение культуры «Дом культуры «Традиции и современность». В учреждении функционировало </w:t>
            </w:r>
            <w:r>
              <w:rPr>
                <w:i/>
                <w:color w:val="auto"/>
                <w:sz w:val="24"/>
                <w:szCs w:val="24"/>
              </w:rPr>
              <w:t xml:space="preserve">15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клубных формирований и формирований самодеятельного народного творчества (музыкальные, хореографические, вокальные кружки, клубы по интересам, вокальные и хоровые коллективы), с количеством участников более </w:t>
            </w:r>
            <w:r>
              <w:rPr>
                <w:i/>
                <w:color w:val="auto"/>
                <w:sz w:val="24"/>
                <w:szCs w:val="24"/>
              </w:rPr>
              <w:t xml:space="preserve">410</w:t>
            </w:r>
            <w:r>
              <w:rPr>
                <w:i/>
                <w:color w:val="auto"/>
                <w:sz w:val="24"/>
                <w:szCs w:val="24"/>
              </w:rPr>
              <w:t xml:space="preserve"> человек.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202</w:t>
            </w:r>
            <w:r>
              <w:rPr>
                <w:i/>
                <w:color w:val="auto"/>
                <w:sz w:val="24"/>
                <w:szCs w:val="24"/>
              </w:rPr>
              <w:t xml:space="preserve">5 </w:t>
            </w:r>
            <w:r>
              <w:rPr>
                <w:i/>
                <w:color w:val="auto"/>
                <w:sz w:val="24"/>
                <w:szCs w:val="24"/>
              </w:rPr>
              <w:t xml:space="preserve">году было организовано и проведено 2</w:t>
            </w:r>
            <w:r>
              <w:rPr>
                <w:i/>
                <w:color w:val="auto"/>
                <w:sz w:val="24"/>
                <w:szCs w:val="24"/>
              </w:rPr>
              <w:t xml:space="preserve">5</w:t>
            </w:r>
            <w:r>
              <w:rPr>
                <w:i/>
                <w:color w:val="auto"/>
                <w:sz w:val="24"/>
                <w:szCs w:val="24"/>
              </w:rPr>
              <w:t xml:space="preserve">7 культурно-массовых мероприятий, в том числе выездные концерты на открытых площадках, в воинских частях, в медицинских, социальных и реабилитационных учреждениях города Владивостока для участников СВО. Мероприятия  посетили </w:t>
            </w:r>
            <w:r>
              <w:rPr>
                <w:rFonts w:eastAsia="Calibri"/>
                <w:i/>
                <w:color w:val="auto"/>
                <w:sz w:val="24"/>
                <w:szCs w:val="24"/>
              </w:rPr>
              <w:t xml:space="preserve">85 803</w:t>
            </w:r>
            <w:r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человек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2.4.</w:t>
            </w:r>
            <w:r>
              <w:rPr>
                <w:color w:val="auto"/>
                <w:sz w:val="24"/>
                <w:szCs w:val="24"/>
              </w:rPr>
              <w:t xml:space="preserve"> Комплекс процессных мероприятий «Организация выставочной деятельности»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17 756,58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17 756,58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51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Предоставлением услуг в рамках комплекса мероприятий занималось муниципальное бюджетное учреждение культуры «Центр современного искусства «Артэтаж». </w:t>
            </w:r>
            <w:r>
              <w:rPr>
                <w:i/>
                <w:color w:val="auto"/>
                <w:sz w:val="24"/>
                <w:szCs w:val="24"/>
              </w:rPr>
              <w:t xml:space="preserve">В 202</w:t>
            </w:r>
            <w:r>
              <w:rPr>
                <w:i/>
                <w:color w:val="auto"/>
                <w:sz w:val="24"/>
                <w:szCs w:val="24"/>
              </w:rPr>
              <w:t xml:space="preserve">5</w:t>
            </w:r>
            <w:r>
              <w:rPr>
                <w:i/>
                <w:color w:val="auto"/>
                <w:sz w:val="24"/>
                <w:szCs w:val="24"/>
              </w:rPr>
              <w:t xml:space="preserve"> году ЦСИ «Артэтаж» работал как социально-культурное пространство, площадка для реализации проектов современного искусства.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  <w:p>
            <w:pPr>
              <w:ind w:left="0" w:right="0" w:firstLine="0"/>
              <w:jc w:val="both"/>
              <w:spacing w:line="240" w:lineRule="auto"/>
              <w:rPr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Учреждением проведено </w:t>
            </w:r>
            <w:r>
              <w:rPr>
                <w:i/>
                <w:color w:val="auto"/>
                <w:sz w:val="24"/>
                <w:szCs w:val="24"/>
              </w:rPr>
              <w:t xml:space="preserve">190</w:t>
            </w:r>
            <w:r>
              <w:rPr>
                <w:i/>
                <w:color w:val="auto"/>
                <w:sz w:val="24"/>
                <w:szCs w:val="24"/>
              </w:rPr>
              <w:t xml:space="preserve"> мероприятий: выставки, образовательные программы, лектории, мастер-классы, развлекательные арт-шоу, которые посетили </w:t>
            </w:r>
            <w:r>
              <w:rPr>
                <w:i/>
                <w:color w:val="auto"/>
                <w:sz w:val="24"/>
                <w:szCs w:val="24"/>
              </w:rPr>
              <w:t xml:space="preserve">6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715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челов</w:t>
            </w:r>
            <w:r>
              <w:rPr>
                <w:i/>
                <w:color w:val="auto"/>
                <w:sz w:val="24"/>
                <w:szCs w:val="24"/>
              </w:rPr>
              <w:t xml:space="preserve">ек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gridAfter w:val="1"/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2.5. </w:t>
            </w:r>
            <w:r>
              <w:rPr>
                <w:color w:val="auto"/>
                <w:sz w:val="24"/>
                <w:szCs w:val="24"/>
              </w:rPr>
              <w:t xml:space="preserve">Комплекс процессных мероприятий «Библиотечное, библиографическое и информационное обслуживание пользователей библиотек, комплектование книжных фондов и обеспечение информационно-техническим оборудованием библиотек»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192 425,94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192 425,94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комплекса мероприятий услугу на территории Владивостокского городского округа оказывает муниципальное бюджетное учреждение культуры «Владивостокская централизованная библиотечная система». Учреждение объединяет </w:t>
            </w:r>
            <w:r>
              <w:rPr>
                <w:i/>
                <w:color w:val="auto"/>
                <w:sz w:val="24"/>
                <w:szCs w:val="24"/>
              </w:rPr>
              <w:t xml:space="preserve">22</w:t>
            </w:r>
            <w:r>
              <w:rPr>
                <w:i/>
                <w:color w:val="auto"/>
                <w:sz w:val="24"/>
                <w:szCs w:val="24"/>
              </w:rPr>
              <w:t xml:space="preserve"> библиотеки, с количеством посещений в 202</w:t>
            </w:r>
            <w:r>
              <w:rPr>
                <w:i/>
                <w:color w:val="auto"/>
                <w:sz w:val="24"/>
                <w:szCs w:val="24"/>
              </w:rPr>
              <w:t xml:space="preserve">5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году </w:t>
            </w:r>
            <w:r>
              <w:rPr>
                <w:i/>
                <w:color w:val="auto"/>
                <w:sz w:val="24"/>
                <w:szCs w:val="24"/>
              </w:rPr>
              <w:t xml:space="preserve">828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219</w:t>
            </w:r>
            <w:r>
              <w:rPr>
                <w:i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ед.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5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2.6. </w:t>
            </w:r>
            <w:r>
              <w:rPr>
                <w:color w:val="auto"/>
                <w:sz w:val="24"/>
                <w:szCs w:val="24"/>
              </w:rPr>
              <w:t xml:space="preserve">Комплекс процессных мероприятий «Организация культурно-досуговых мероприятий»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186 060,00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186 060,00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31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Реализацией комплекса мероприятий занимаются муниципальное казенное учреждение культуры «Дом культуры «Владивосток» и управление культуры. В 202</w:t>
            </w:r>
            <w:r>
              <w:rPr>
                <w:i/>
                <w:color w:val="auto"/>
                <w:sz w:val="24"/>
                <w:szCs w:val="24"/>
              </w:rPr>
              <w:t xml:space="preserve">5</w:t>
            </w:r>
            <w:r>
              <w:rPr>
                <w:i/>
                <w:color w:val="auto"/>
                <w:sz w:val="24"/>
                <w:szCs w:val="24"/>
              </w:rPr>
              <w:t xml:space="preserve"> году проведено </w:t>
              <w:br/>
            </w:r>
            <w:r>
              <w:rPr>
                <w:i/>
                <w:color w:val="auto"/>
                <w:sz w:val="24"/>
                <w:szCs w:val="24"/>
              </w:rPr>
              <w:t xml:space="preserve">210 </w:t>
            </w:r>
            <w:r>
              <w:rPr>
                <w:i/>
                <w:color w:val="auto"/>
                <w:sz w:val="24"/>
                <w:szCs w:val="24"/>
              </w:rPr>
              <w:t xml:space="preserve">культурно-досуговых мероприятий,  посвященных социально и общественно-значимым датам, государственным и календарным праздникам. Мероприятия посетили </w:t>
              <w:br/>
            </w:r>
            <w:r>
              <w:rPr>
                <w:i/>
                <w:color w:val="auto"/>
                <w:sz w:val="24"/>
                <w:szCs w:val="24"/>
              </w:rPr>
              <w:t xml:space="preserve">2 </w:t>
            </w:r>
            <w:r>
              <w:rPr>
                <w:i/>
                <w:color w:val="auto"/>
                <w:sz w:val="24"/>
                <w:szCs w:val="24"/>
              </w:rPr>
              <w:t xml:space="preserve">867 158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человек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5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2.7. Комплекс процессных мероприятий «Руководство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60 110,28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59 732,39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99,37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gridAfter w:val="1"/>
          <w:trHeight w:val="202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Расходы в рамках мероприятия направлены на обеспечение деятельности аппарата управления культуры и муниципального казенного учреждения «Дом культуры «Владивосток»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1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</w:t>
            </w:r>
            <w:r>
              <w:rPr>
                <w:color w:val="auto"/>
                <w:sz w:val="24"/>
                <w:szCs w:val="24"/>
              </w:rPr>
              <w:t xml:space="preserve">8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Муниципальный проект «Семейные ценности и инфраструктура культуры»</w:t>
            </w:r>
            <w:r>
              <w:rPr>
                <w:color w:val="auto"/>
                <w:sz w:val="24"/>
                <w:szCs w:val="24"/>
              </w:rPr>
              <w:t xml:space="preserve">: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2 529,88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2 529,88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</w:t>
            </w:r>
            <w:r>
              <w:rPr>
                <w:color w:val="auto"/>
                <w:sz w:val="24"/>
                <w:szCs w:val="24"/>
              </w:rPr>
              <w:t xml:space="preserve">8.</w:t>
            </w:r>
            <w:r>
              <w:rPr>
                <w:color w:val="auto"/>
                <w:sz w:val="24"/>
                <w:szCs w:val="24"/>
              </w:rPr>
              <w:t xml:space="preserve">1. </w:t>
            </w:r>
            <w:r>
              <w:rPr>
                <w:color w:val="auto"/>
                <w:sz w:val="24"/>
                <w:szCs w:val="24"/>
              </w:rPr>
              <w:t xml:space="preserve">Мероприятие «Государственная поддержка отрасли культуры (модернизации муниципальных детских школ искусств по видам искусств)»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2 529,88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2 529,88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мероприяти</w:t>
            </w:r>
            <w:r>
              <w:rPr>
                <w:i/>
                <w:color w:val="auto"/>
                <w:sz w:val="24"/>
                <w:szCs w:val="24"/>
              </w:rPr>
              <w:t xml:space="preserve">я</w:t>
            </w:r>
            <w:r>
              <w:rPr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i/>
                <w:color w:val="auto"/>
                <w:sz w:val="24"/>
                <w:szCs w:val="24"/>
              </w:rPr>
              <w:t xml:space="preserve">проведены работы по </w:t>
            </w:r>
            <w:r>
              <w:rPr>
                <w:i/>
                <w:color w:val="auto"/>
                <w:sz w:val="24"/>
                <w:szCs w:val="24"/>
              </w:rPr>
              <w:t xml:space="preserve">капитальному </w:t>
            </w:r>
            <w:r>
              <w:rPr>
                <w:i/>
                <w:color w:val="auto"/>
                <w:sz w:val="24"/>
                <w:szCs w:val="24"/>
              </w:rPr>
              <w:t xml:space="preserve">ремонту кровли МБУДО «Детская школа искусств № 5 г. Владивостока»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  <w:tr>
        <w:tblPrEx/>
        <w:trPr>
          <w:gridAfter w:val="1"/>
          <w:trHeight w:val="1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2.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9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Муниципальный проект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«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Создание номерного фонда, инфраструктуры и новых точек притяжения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» </w:t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12 925,75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12 925,75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100,00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  <w:trHeight w:val="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2.</w:t>
            </w:r>
            <w:r>
              <w:rPr>
                <w:color w:val="auto"/>
                <w:sz w:val="24"/>
                <w:szCs w:val="24"/>
              </w:rPr>
              <w:t xml:space="preserve">9.</w:t>
            </w:r>
            <w:r>
              <w:rPr>
                <w:color w:val="auto"/>
                <w:sz w:val="24"/>
                <w:szCs w:val="24"/>
              </w:rPr>
              <w:t xml:space="preserve">1. </w:t>
            </w:r>
            <w:r>
              <w:rPr>
                <w:color w:val="auto"/>
                <w:sz w:val="24"/>
                <w:szCs w:val="24"/>
              </w:rPr>
              <w:t xml:space="preserve">Мероприятие «Мероприятие по обустройству туристского центра города на территории муниципального образования в соответствии с туристским кодом центра города»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12 925,75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12 925,75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i/>
                <w:color w:val="auto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В рамках данного мероприяти</w:t>
            </w:r>
            <w:r>
              <w:rPr>
                <w:i/>
                <w:color w:val="auto"/>
                <w:sz w:val="24"/>
                <w:szCs w:val="24"/>
              </w:rPr>
              <w:t xml:space="preserve">я</w:t>
            </w:r>
            <w:r>
              <w:rPr>
                <w:i/>
                <w:color w:val="auto"/>
                <w:sz w:val="24"/>
                <w:szCs w:val="24"/>
              </w:rPr>
              <w:t xml:space="preserve"> произведена застройка площади Борцов революции в период празднования  Нового 2026 года</w:t>
            </w:r>
            <w:r>
              <w:rPr>
                <w:i/>
                <w:color w:val="auto"/>
              </w:rPr>
            </w:r>
            <w:r>
              <w:rPr>
                <w:i/>
                <w:color w:val="auto"/>
              </w:rPr>
            </w:r>
          </w:p>
        </w:tc>
      </w:tr>
    </w:tbl>
    <w:p>
      <w:pPr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szCs w:val="28"/>
          <w:highlight w:val="none"/>
        </w:rPr>
      </w:pPr>
      <w:r/>
      <w:bookmarkStart w:id="19" w:name="_Toc18"/>
      <w:r>
        <w:rPr>
          <w:strike w:val="0"/>
          <w:szCs w:val="28"/>
          <w:highlight w:val="none"/>
        </w:rPr>
        <w:t xml:space="preserve">4.1.8. </w:t>
      </w:r>
      <w:r>
        <w:rPr>
          <w:strike w:val="0"/>
          <w:szCs w:val="28"/>
          <w:highlight w:val="none"/>
        </w:rPr>
        <w:t xml:space="preserve">Муниципальная программа «Поддержка общественных инициатив»</w:t>
      </w:r>
      <w:r>
        <w:rPr>
          <w:strike w:val="0"/>
          <w:szCs w:val="28"/>
          <w:highlight w:val="none"/>
        </w:rPr>
      </w:r>
      <w:bookmarkEnd w:id="19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84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contextualSpacing/>
        <w:ind w:firstLine="720"/>
        <w:rPr>
          <w:strike w:val="0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Муниципальная программа «Поддержка общественных инициатив» (далее – муниципальная программа) утверждена постановлением администрации города Владивостока от 20.09.2023 № 2403.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20"/>
        <w:rPr>
          <w:strike w:val="0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Ответственный исполнитель муниципальной программы – управление развития общественных инициатив администрации города Владивостока.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20"/>
        <w:rPr>
          <w:strike w:val="0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Соисполнители муниципальной программы отсутствуют.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20"/>
        <w:rPr>
          <w:strike w:val="0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Участники муниципальной программы: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20"/>
        <w:rPr>
          <w:strike w:val="0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- Управление по работе с муниципальными учреждениями образования;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20"/>
        <w:rPr>
          <w:strike w:val="0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-  управление городской среды;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20"/>
        <w:rPr>
          <w:bCs/>
          <w:iCs/>
          <w:strike w:val="0"/>
          <w:szCs w:val="28"/>
          <w:highlight w:val="none"/>
        </w:rPr>
      </w:pPr>
      <w:r>
        <w:rPr>
          <w:bCs/>
          <w:iCs/>
          <w:strike w:val="0"/>
          <w:szCs w:val="28"/>
          <w:highlight w:val="none"/>
        </w:rPr>
        <w:t xml:space="preserve">Структура расходов муниципальной программы за 2025 год по комплексным мероприятиям представлена в таблице</w:t>
      </w:r>
      <w:r>
        <w:rPr>
          <w:bCs/>
          <w:iCs/>
          <w:strike w:val="0"/>
          <w:szCs w:val="28"/>
          <w:highlight w:val="none"/>
        </w:rPr>
        <w:t xml:space="preserve">: </w:t>
      </w:r>
      <w:r>
        <w:rPr>
          <w:bCs/>
          <w:iCs/>
          <w:strike w:val="0"/>
          <w:szCs w:val="28"/>
          <w:highlight w:val="none"/>
        </w:rPr>
      </w:r>
      <w:r>
        <w:rPr>
          <w:bCs/>
          <w:iCs/>
          <w:strike w:val="0"/>
          <w:szCs w:val="28"/>
          <w:highlight w:val="none"/>
        </w:rPr>
      </w:r>
    </w:p>
    <w:tbl>
      <w:tblPr>
        <w:tblStyle w:val="769"/>
        <w:tblW w:w="0" w:type="auto"/>
        <w:tblInd w:w="107" w:type="dxa"/>
        <w:tblLayout w:type="fixed"/>
        <w:tblLook w:val="04A0" w:firstRow="1" w:lastRow="0" w:firstColumn="1" w:lastColumn="0" w:noHBand="0" w:noVBand="1"/>
      </w:tblPr>
      <w:tblGrid>
        <w:gridCol w:w="5034"/>
        <w:gridCol w:w="2092"/>
        <w:gridCol w:w="1559"/>
        <w:gridCol w:w="113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Уточненный план, </w:t>
            </w:r>
            <w:r>
              <w:rPr>
                <w:b w:val="0"/>
                <w:bCs w:val="0"/>
                <w:sz w:val="24"/>
                <w:szCs w:val="24"/>
              </w:rPr>
              <w:br/>
            </w:r>
            <w:r>
              <w:rPr>
                <w:b w:val="0"/>
                <w:bCs w:val="0"/>
                <w:sz w:val="24"/>
              </w:rPr>
              <w:t xml:space="preserve">тыс. рублей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Исполнено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тыс. рублей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Расходы по муниципальной программе всего, в том числе: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 xml:space="preserve">34 315</w:t>
            </w:r>
            <w:r>
              <w:rPr>
                <w:b w:val="0"/>
                <w:bCs w:val="0"/>
                <w:color w:val="000000" w:themeColor="text1"/>
                <w:sz w:val="24"/>
              </w:rPr>
              <w:t xml:space="preserve">,80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33 160,53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96,63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налоговых и неналоговых доходов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11 931,47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11 667,40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97,79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</w:tr>
      <w:tr>
        <w:tblPrEx/>
        <w:trPr>
          <w:trHeight w:val="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межбюджетных трансфертов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22 384,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21 493,13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96,02</w:t>
            </w:r>
            <w:r>
              <w:rPr>
                <w:bCs/>
                <w:color w:val="000000" w:themeColor="text1"/>
                <w:sz w:val="24"/>
              </w:rPr>
            </w:r>
            <w:r>
              <w:rPr>
                <w:bCs/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Комплекс процессных мероприятий «Оказание финансовой поддержки из бюджета Владивостокского городского округа СОНКО города Владивостока» 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b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5 454,16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5 431,63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99,59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0" w:type="dxa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Выполнены следующие мероприятия: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1)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 оказание финансовой поддержки СОНКО города Владивостока, за исключением государственных (муниципальных) учреждений, путем предоставления СОНКО города Владивостока грантов в форме субсидий из бюджета Владивостокского городского округ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а на реализацию социальных проектов по итогам проведения конкурса по отбору социальных проектов СОНКО города Владивостока (за исключением государственных (муниципальных) учреждений) для предоставления грантов из бюджета Владивостокского городского округа. 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pStyle w:val="934"/>
              <w:ind w:left="0" w:right="0"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В 20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25 году по итогам проведения Конкурса по отбору социальных проектов СОНКО города Владивостока (за исключением государственных (муниципальных) учреждений) для предоставления грантов из бюджета Владивостокского городского округа гранты предоставлены 6 СО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НКО на реализацию следующих проектов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14:ligatures w14:val="none"/>
              </w:rPr>
            </w:r>
          </w:p>
          <w:p>
            <w:pPr>
              <w:contextualSpacing/>
              <w:ind w:left="0" w:right="0" w:firstLine="709"/>
              <w:spacing w:line="240" w:lineRule="auto"/>
              <w:rPr>
                <w:rFonts w:eastAsia="Calibri"/>
                <w:i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- 2 социальных проектов, направленных на патриотическое, в том числе военно-патриотическое, воспитание граждан Российской Федерации;</w:t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rFonts w:eastAsia="Calibri"/>
                <w:i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- 2 социальных проектов, направленных на социальное обслуживание, социальную поддержку и защиту граждан, </w:t>
            </w: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деятельность в сфере поддержки семьи, материнства, отцовства и детства, организацию и проведение мероприятий, способствующих развитию предусмотренных законодательством Российской Федерации форм устройства детей, оставшихся без попечения родителей, в семью;</w:t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</w:p>
          <w:p>
            <w:pPr>
              <w:contextualSpacing/>
              <w:ind w:left="0" w:right="0" w:firstLine="709"/>
              <w:spacing w:line="240" w:lineRule="auto"/>
              <w:rPr>
                <w:rFonts w:eastAsia="Calibri"/>
                <w:i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- 1 социального проекта, направленного на пропаганду здорового образа жизни;</w:t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</w:p>
          <w:p>
            <w:pPr>
              <w:contextualSpacing/>
              <w:ind w:left="0" w:right="0" w:firstLine="709"/>
              <w:spacing w:line="240" w:lineRule="auto"/>
              <w:rPr>
                <w:rFonts w:eastAsia="Calibri"/>
                <w:i/>
                <w:color w:val="000000" w:themeColor="text1"/>
                <w:szCs w:val="28"/>
              </w:rPr>
            </w:pP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- 1 </w:t>
            </w: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социального проекта, направленного</w:t>
            </w:r>
            <w:r>
              <w:rPr>
                <w:rFonts w:eastAsia="Calibri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 на развитие межнационального сотрудничества, сохранение и защиту самобытности, культуры, языков и традиций народов Российской Федерации;</w:t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  <w:r>
              <w:rPr>
                <w:rFonts w:eastAsia="Calibri"/>
                <w:i/>
                <w:color w:val="000000" w:themeColor="text1"/>
                <w:szCs w:val="28"/>
              </w:rPr>
            </w:r>
          </w:p>
          <w:p>
            <w:pPr>
              <w:pStyle w:val="934"/>
              <w:ind w:left="0" w:right="0"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2)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 оказание финансовой поддержки СОНКО города В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ладивостока, за исключением государственных (муниципальных) учреждений, путем предоставления СОНКО города Владивостока субсидий из бюджета Владивостокского городского округа на обеспечение затрат СОНКО города Владивостока (за исключением государственных (м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униципальных) учреждений), связанных с реализацией общественно значимых программ СОНКО города Владивостока (за исключением государственных (муниципальных) учреждений) по защите прав и интересов ветеранов города Владивостока, привлечению ветеранов к участию</w:t>
            </w:r>
            <w:r>
              <w:rPr>
                <w:rFonts w:ascii="Times New Roman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 в патриотическом и нравственном воспитании молодежи, по итогам проведения конкурса на получение субсидий из бюджета Владивостокского городского округа на реализацию общественно значимых программ СОНКО города Владивостока.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В 2025 году на территории города Владивостока реализовано 5 общественно значимых программ СОНКО города Владивостока  по защите прав и интересов ветеранов города Владивостока, привлечению ветеранов к участию в патриотическом и н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равственном воспитании молодежи.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Комплекс процессных мероприятий «Взаимодействие с общественными организациями города Владивостока»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b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5 251,21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5 018,66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95,57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0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Проведены следующие мероприятия: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дню снятия блокады Ленинграда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годовщине вывода войск из Афганистана;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посвящённое Международному дню освобождения узников  фашистских  концлагерей;       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городские мероприятия, посвященные Дню Победы советского народа в Великой Отечественной войне 1941-1945 годов (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изготовление и 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доставка поздравительных открыток ветеранам ВОВ, 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приобретение и </w:t>
            </w: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доставка подарков участникам ВОВ);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праздничное городское мероприятие «Солдатская каша», посвящённое Дню Победы советского народа в Великой Отечественной войне 1941-1945 годов;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дню ветерана боевых действий;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дню воздушно-десантных войск;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годовщине военных действий на озере Хасан;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митинг памяти жертв терроризма, посвященный Дню солидарности в борьбе с терроризмом;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посвящённое Дню памяти жертв политических репрессий;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Дню Неизвестного солдата;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Дню Героев Отечества;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мероприятие, посвященное Дню памяти солдат, погибших в Чеченской республике;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чествование и поздравление граждан, удостоенных звания «Почётный гражданин города Владивостока» в связи с юбилеями и днями рождениями;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поздравление участников Великой Отечественной войны с юбилеями;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чествование граждан, которым исполнилось 100 лет и более;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поздравление граждан, имеющих категории: несовершеннолетние узники  фашистских концлагерей, труженики тыла, жители блокадного Ленинграда, реабилитированные, с 90, 95-летними юбилеями;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организовано участие ветеранов и инвалидов города Владивостока в мероприятиях, проводимых на территории Владивостокского городского округа;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  <w:p>
            <w:pPr>
              <w:ind w:left="0" w:right="0" w:firstLine="709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- вручено 5 премий победителям конкурса «Семья года города Владивостока»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Комплекс процессных мероприятий «Развитие ТОС на территории Владивостокского городского округа»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b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1 000,00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1 000,00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100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0" w:type="dxa"/>
            <w:vMerge w:val="restart"/>
            <w:textDirection w:val="lrTb"/>
            <w:noWrap w:val="false"/>
          </w:tcPr>
          <w:p>
            <w:pPr>
              <w:ind w:left="0" w:right="0" w:firstLine="0"/>
              <w:spacing w:line="240" w:lineRule="auto"/>
              <w:rPr>
                <w:i/>
                <w:color w:val="000000" w:themeColor="text1"/>
                <w:szCs w:val="28"/>
              </w:rPr>
            </w:pPr>
            <w:r>
              <w:rPr>
                <w:b w:val="0"/>
                <w:bCs w:val="0"/>
                <w:i/>
                <w:color w:val="000000" w:themeColor="text1"/>
                <w:sz w:val="24"/>
                <w:szCs w:val="24"/>
              </w:rPr>
              <w:t xml:space="preserve">В 2025 году оказана поддержка в реализации 12 инициатив ТОС города Владивостока</w:t>
            </w:r>
            <w:r>
              <w:rPr>
                <w:i/>
                <w:color w:val="000000" w:themeColor="text1"/>
                <w:szCs w:val="28"/>
              </w:rPr>
            </w:r>
            <w:r>
              <w:rPr>
                <w:i/>
                <w:color w:val="000000" w:themeColor="text1"/>
                <w:szCs w:val="28"/>
              </w:rPr>
            </w:r>
          </w:p>
        </w:tc>
      </w:tr>
      <w:tr>
        <w:tblPrEx/>
        <w:trPr>
          <w:trHeight w:val="1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Комплекс процессных мероприятий «Реализация мероприятий, имеющих приоритетное значение для жителей Владивостокского городского округа», в том числе:</w:t>
            </w:r>
            <w:r>
              <w:rPr>
                <w:b/>
                <w:color w:val="000000" w:themeColor="text1"/>
                <w:sz w:val="24"/>
              </w:rPr>
            </w:r>
            <w:r>
              <w:rPr>
                <w:b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22 610,43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21 710,23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 xml:space="preserve">96,02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Реализация проектов </w:t>
            </w:r>
            <w:r>
              <w:rPr>
                <w:b w:val="0"/>
                <w:bCs w:val="0"/>
                <w:sz w:val="24"/>
                <w:szCs w:val="24"/>
              </w:rPr>
              <w:t xml:space="preserve">инициативного</w:t>
            </w:r>
            <w:r>
              <w:rPr>
                <w:b w:val="0"/>
                <w:bCs w:val="0"/>
                <w:sz w:val="24"/>
                <w:szCs w:val="24"/>
              </w:rPr>
              <w:t xml:space="preserve"> бюджетирования по </w:t>
            </w:r>
            <w:r>
              <w:rPr>
                <w:b w:val="0"/>
                <w:bCs w:val="0"/>
                <w:sz w:val="24"/>
                <w:szCs w:val="24"/>
              </w:rPr>
              <w:t xml:space="preserve">н</w:t>
            </w:r>
            <w:r>
              <w:rPr>
                <w:b w:val="0"/>
                <w:bCs w:val="0"/>
                <w:sz w:val="24"/>
                <w:szCs w:val="24"/>
              </w:rPr>
              <w:t xml:space="preserve">ап</w:t>
            </w:r>
            <w:r>
              <w:rPr>
                <w:b w:val="0"/>
                <w:bCs w:val="0"/>
                <w:sz w:val="24"/>
                <w:szCs w:val="24"/>
              </w:rPr>
              <w:t xml:space="preserve">равлению «Твой проект»</w:t>
            </w:r>
            <w:r>
              <w:rPr>
                <w:i/>
                <w:sz w:val="24"/>
                <w14:ligatures w14:val="none"/>
              </w:rPr>
            </w:r>
            <w:r>
              <w:rPr>
                <w:i/>
                <w:sz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12 157,81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12 157,81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налоговых и неналоговых доходов</w:t>
            </w:r>
            <w:r>
              <w:rPr>
                <w:bCs/>
                <w:sz w:val="24"/>
                <w14:ligatures w14:val="none"/>
              </w:rPr>
            </w:r>
            <w:r>
              <w:rPr>
                <w:bCs/>
                <w:sz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121,58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121,58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100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межбюджетных трансфертов</w:t>
            </w:r>
            <w:r>
              <w:rPr>
                <w:bCs/>
                <w:sz w:val="24"/>
                <w14:ligatures w14:val="none"/>
              </w:rPr>
            </w:r>
            <w:r>
              <w:rPr>
                <w:bCs/>
                <w:sz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12 036,23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12 </w:t>
            </w:r>
            <w:r>
              <w:rPr>
                <w:b w:val="0"/>
                <w:bCs w:val="0"/>
                <w:sz w:val="24"/>
                <w:szCs w:val="24"/>
              </w:rPr>
              <w:t xml:space="preserve">0</w:t>
            </w:r>
            <w:r>
              <w:rPr>
                <w:b w:val="0"/>
                <w:bCs w:val="0"/>
                <w:sz w:val="24"/>
                <w:szCs w:val="24"/>
              </w:rPr>
              <w:t xml:space="preserve">36,23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100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  <w14:ligatures w14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Реализация проектов </w:t>
            </w:r>
            <w:r>
              <w:rPr>
                <w:b w:val="0"/>
                <w:bCs w:val="0"/>
                <w:sz w:val="24"/>
                <w:szCs w:val="24"/>
              </w:rPr>
              <w:t xml:space="preserve">инициативного</w:t>
            </w:r>
            <w:r>
              <w:rPr>
                <w:b w:val="0"/>
                <w:bCs w:val="0"/>
                <w:sz w:val="24"/>
                <w:szCs w:val="24"/>
              </w:rPr>
              <w:t xml:space="preserve"> бюджетирования по направлению «</w:t>
            </w:r>
            <w:r>
              <w:rPr>
                <w:b w:val="0"/>
                <w:bCs w:val="0"/>
                <w:sz w:val="24"/>
                <w:szCs w:val="24"/>
              </w:rPr>
              <w:t xml:space="preserve">Молодежный бюджет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i/>
                <w:sz w:val="24"/>
                <w14:ligatures w14:val="none"/>
              </w:rPr>
            </w:r>
            <w:r>
              <w:rPr>
                <w:i/>
                <w:sz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10 452,62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9 552,43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91,39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налоговых и неналоговых доходов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104,52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95,53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91,40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межбюджетных трансфертов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10 348,10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9 456,90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</w:rPr>
              <w:t xml:space="preserve">91,39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20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i/>
                <w:szCs w:val="28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По направлению «Твой проект»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были реализованы следующие проекты:</w:t>
            </w:r>
            <w:r>
              <w:rPr>
                <w:i/>
                <w:szCs w:val="28"/>
              </w:rPr>
            </w:r>
            <w:r>
              <w:rPr>
                <w:i/>
                <w:szCs w:val="28"/>
              </w:rPr>
            </w:r>
          </w:p>
          <w:p>
            <w:pPr>
              <w:pStyle w:val="753"/>
              <w:numPr>
                <w:ilvl w:val="0"/>
                <w:numId w:val="19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«Народная аллея» - благоустройство сквозного пешеходного маршрута между домами по адресу: проспект Красного знамени д.101 и Народный проспект д. 33;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19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«Сквер на Часовитина» - благоустройство сквера в районе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д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м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в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№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№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15, 17, 21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п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ул. Часовитина </w:t>
            </w:r>
            <w:r>
              <w:rPr>
                <w:b w:val="0"/>
                <w:bCs w:val="0"/>
                <w:i/>
                <w:sz w:val="24"/>
                <w:szCs w:val="24"/>
                <w:lang w:val="en-US"/>
              </w:rPr>
              <w:t xml:space="preserve">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19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«Спорта много не бывает» - благоустройство спортивной площадки на территории школы № 18;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19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Воркаут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-площадка на территории МБОУ «Школа № 17»;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19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«Благоустройство территории МБОУ «Школа № 26»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По направлению «Молодежный бюджет»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были реализованы следующие проекты: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«Безопасный путь в школу» - ремонт лестницы, укрепление перил на территории школы № 82 по у. Адмирала Горшкова д.26;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«Лестница дружбы» - демонтаж разрушенного лестничного марша, монтаж лестничного марша в виде каскадных скамеек с деревянным покрытием на территории школы № 22 по ул.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Светланская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д. 207</w:t>
            </w:r>
            <w:r>
              <w:rPr>
                <w:b w:val="0"/>
                <w:bCs w:val="0"/>
                <w:i/>
                <w:sz w:val="24"/>
                <w:szCs w:val="24"/>
                <w:lang w:val="en-US"/>
              </w:rPr>
              <w:t xml:space="preserve">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«Семейный сквер МБОУ «СОШ № 6» - укладка брусчатки, установка лавочек, освещения на солнечных батареях  по периметру сквера на территории МБОУ «СОШ № 6 по ул. Казанская, д. 4</w:t>
            </w:r>
            <w:r>
              <w:rPr>
                <w:b w:val="0"/>
                <w:bCs w:val="0"/>
                <w:i/>
                <w:sz w:val="24"/>
                <w:szCs w:val="24"/>
                <w:lang w:val="en-US"/>
              </w:rPr>
              <w:t xml:space="preserve">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Воркаут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-площадка» - облагораживание территории для спортивной площадки, укладка специального покрытия, установка спортивного оборудования на территории МБОУ «СОШ № 25» по ул. Никифорова д. 41а</w:t>
            </w:r>
            <w:r>
              <w:rPr>
                <w:b w:val="0"/>
                <w:bCs w:val="0"/>
                <w:i/>
                <w:sz w:val="24"/>
                <w:szCs w:val="24"/>
                <w:lang w:val="en-US"/>
              </w:rPr>
              <w:t xml:space="preserve">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«Благоустройство школьного двора» - установка скамеек, урн, </w:t>
              <w:br/>
              <w:t xml:space="preserve">уличного освещения, выкладка пешеходных дорожек брусчаткой на территории </w:t>
              <w:br/>
              <w:t xml:space="preserve">МБОУ «СОШ № 46» по ул. Батарейная д.6;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«Благоустройство стадиона» - замена спортивного оборудования, установка лавочек на территории стадиона МБОУ «СОШ № 80» по ул.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Невельского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 д.31</w:t>
            </w:r>
            <w:r>
              <w:rPr>
                <w:b w:val="0"/>
                <w:bCs w:val="0"/>
                <w:i/>
                <w:sz w:val="24"/>
                <w:szCs w:val="24"/>
                <w:lang w:val="en-US"/>
              </w:rPr>
              <w:t xml:space="preserve">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«Благоустройство пришкольной территории» - установка лавочек с навесом, качелей с навесом на территории МБОУ «СОШ № 70» по ул. Порт – Артурской д.48</w:t>
            </w:r>
            <w:r>
              <w:rPr>
                <w:b w:val="0"/>
                <w:bCs w:val="0"/>
                <w:i/>
                <w:sz w:val="24"/>
                <w:szCs w:val="24"/>
                <w:lang w:val="en-US"/>
              </w:rPr>
              <w:t xml:space="preserve">;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«Благоустройство парковой зоны около школы» - высадка саженцев цветочных, декоративно-лиственных растений на терри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тории МБОУ «СОШ № 2» по ул. Тол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стого, 27.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0"/>
              </w:numPr>
              <w:ind w:left="34" w:right="0" w:firstLine="675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«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Военно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-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спортивная полоса препятствий» - установка 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военно</w:t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-</w:t>
              <w:br/>
            </w:r>
            <w:r>
              <w:rPr>
                <w:b w:val="0"/>
                <w:bCs w:val="0"/>
                <w:i/>
                <w:sz w:val="24"/>
                <w:szCs w:val="24"/>
              </w:rPr>
              <w:t xml:space="preserve">спортивной полосы препятствий на территории МБОУ «Вектор» по </w:t>
              <w:br/>
              <w:t xml:space="preserve">ул. Космонавтов д. 15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734"/>
        <w:ind w:right="0" w:firstLine="0"/>
        <w:jc w:val="center"/>
        <w:spacing w:line="360" w:lineRule="auto"/>
        <w:rPr>
          <w:rFonts w:eastAsia="Calibri"/>
          <w:strike w:val="0"/>
          <w:highlight w:val="none"/>
        </w:rPr>
      </w:pPr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pStyle w:val="734"/>
        <w:ind w:right="0" w:firstLine="0"/>
        <w:jc w:val="center"/>
        <w:spacing w:line="360" w:lineRule="auto"/>
        <w:rPr>
          <w:rFonts w:eastAsia="Calibri"/>
          <w:strike w:val="0"/>
          <w:highlight w:val="none"/>
        </w:rPr>
      </w:pPr>
      <w:r/>
      <w:bookmarkStart w:id="20" w:name="_Toc19"/>
      <w:r>
        <w:rPr>
          <w:rFonts w:eastAsia="Calibri"/>
          <w:strike w:val="0"/>
          <w:highlight w:val="none"/>
        </w:rPr>
        <w:t xml:space="preserve">4.1.9. Муниципальная программа «Здоровый Владивосток»</w:t>
      </w:r>
      <w:r>
        <w:rPr>
          <w:rFonts w:eastAsia="Calibri"/>
          <w:strike w:val="0"/>
          <w:highlight w:val="none"/>
        </w:rPr>
      </w:r>
      <w:bookmarkEnd w:id="20"/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spacing w:line="360" w:lineRule="auto"/>
      </w:pPr>
      <w:r/>
      <w:r/>
    </w:p>
    <w:p>
      <w:pPr>
        <w:spacing w:line="360" w:lineRule="auto"/>
      </w:pPr>
      <w:r>
        <w:t xml:space="preserve">Муниципальная программа «Здоровый Владивосток» утверждена постановлением администрации города Владивостока от 20.09.2023 </w:t>
        <w:br/>
        <w:t xml:space="preserve">№ 2400.</w:t>
      </w:r>
      <w:r/>
    </w:p>
    <w:p>
      <w:r>
        <w:t xml:space="preserve">Ответственный исполнитель муниципальной программы – управление развития общественных инициатив администрации города Владивостока.</w:t>
      </w:r>
      <w:r/>
    </w:p>
    <w:p>
      <w:r>
        <w:t xml:space="preserve">Соисполнители муниципальной программы:</w:t>
      </w:r>
      <w:r/>
    </w:p>
    <w:p>
      <w:r>
        <w:t xml:space="preserve">управление содержания жилищного фонда администрации города Владивосток;</w:t>
      </w:r>
      <w:r/>
    </w:p>
    <w:p>
      <w:r>
        <w:t xml:space="preserve">управление по исполнению отдельных государственных полномочий по государственному управлению охраной труда администрации города Владивостока.</w:t>
      </w:r>
      <w:r/>
    </w:p>
    <w:p>
      <w:r>
        <w:t xml:space="preserve">Структура расходов муниципальной программы за 2025 год по комплексным мероприятиям представлена в таблице:</w:t>
      </w:r>
      <w:r/>
    </w:p>
    <w:tbl>
      <w:tblPr>
        <w:tblW w:w="980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041"/>
        <w:gridCol w:w="2097"/>
        <w:gridCol w:w="1562"/>
        <w:gridCol w:w="1100"/>
      </w:tblGrid>
      <w:tr>
        <w:tblPrEx/>
        <w:trPr>
          <w:trHeight w:val="43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209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Уточненный план, </w:t>
            </w:r>
            <w:r>
              <w:rPr>
                <w:bCs/>
                <w:sz w:val="24"/>
              </w:rPr>
              <w:br/>
            </w:r>
            <w:r>
              <w:rPr>
                <w:sz w:val="24"/>
              </w:rPr>
              <w:t xml:space="preserve">тыс. рублей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Исполнено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7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тыс. рублей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Расходы по муниципальной программе всего, в том числе: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5 000,00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3 976,51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79,53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налоговых и неналоговых доходов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5 000,00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3 976,51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79,53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</w:tr>
      <w:tr>
        <w:tblPrEx/>
        <w:trPr>
          <w:trHeight w:val="1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межбюджетных трансфертов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0,00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0,00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-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</w:tr>
      <w:tr>
        <w:tblPrEx/>
        <w:trPr>
          <w:trHeight w:val="1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sz w:val="24"/>
              </w:rPr>
              <w:t xml:space="preserve">К</w:t>
            </w:r>
            <w:r>
              <w:rPr>
                <w:sz w:val="24"/>
              </w:rPr>
              <w:t xml:space="preserve">омплекс процессных мероприятий «</w:t>
            </w:r>
            <w:r>
              <w:rPr>
                <w:sz w:val="24"/>
              </w:rPr>
              <w:t xml:space="preserve">Обеспечение доступности жилищного фонда и жилых помещений инвалидов (семей, имеющих детей-инвалидов) с учетом потребнос</w:t>
            </w:r>
            <w:r>
              <w:rPr>
                <w:sz w:val="24"/>
              </w:rPr>
              <w:t xml:space="preserve">тей инвалидов (детей-инвалидов)»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7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5 000,00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3 976,51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79,53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t xml:space="preserve">Н</w:t>
      </w:r>
      <w:r>
        <w:t xml:space="preserve">е</w:t>
      </w:r>
      <w:r>
        <w:t xml:space="preserve">исполнение в размере 1 023,49 тыс. руб. сложилось за счет несостоявшейся закупки на подрядные работы по разработке проектной документации на работы капитального характера (приспособление) квартиры № 14 жилого дома № 39 по ул. Гризодубовой с учетом потребн</w:t>
      </w:r>
      <w:r>
        <w:t xml:space="preserve">ости </w:t>
        <w:br/>
        <w:t xml:space="preserve">инвалида, отказа граждан от выполнения работ с учетом потребностей инвалидов (детей-инвалидов) квартиры и экономии по результатам </w:t>
        <w:br/>
        <w:t xml:space="preserve">торгов.</w:t>
      </w:r>
      <w:r>
        <w:rPr>
          <w:highlight w:val="none"/>
        </w:rPr>
      </w:r>
      <w:r>
        <w:rPr>
          <w:highlight w:val="none"/>
        </w:rPr>
      </w:r>
    </w:p>
    <w:p>
      <w:r>
        <w:t xml:space="preserve">Р</w:t>
      </w:r>
      <w:r>
        <w:t xml:space="preserve">емонтно-строительные работы выполнены по 9 адресам, в которых располагаются жилые помещения, занимаемые инвалидами и семьями, имеющими детей-инвалидов, и используемые для их постоянного проживания, а также общего имущества в многоквартирных домах, в которы</w:t>
      </w:r>
      <w:r>
        <w:t xml:space="preserve">х расположены указанные жилые помещения, с учетом потребностей инвалидов и обеспечения условий их доступности для инвалидов.</w:t>
      </w:r>
      <w:r/>
    </w:p>
    <w:p>
      <w:pPr>
        <w:pStyle w:val="734"/>
        <w:ind w:right="0" w:firstLine="0"/>
        <w:jc w:val="center"/>
        <w:spacing w:line="240" w:lineRule="auto"/>
        <w:rPr>
          <w:rFonts w:eastAsia="Calibri"/>
          <w:strike w:val="0"/>
          <w:highlight w:val="none"/>
        </w:rPr>
      </w:pPr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pStyle w:val="734"/>
        <w:ind w:right="0" w:firstLine="0"/>
        <w:jc w:val="center"/>
        <w:spacing w:line="240" w:lineRule="auto"/>
        <w:rPr>
          <w:rFonts w:eastAsia="Calibri"/>
          <w:strike w:val="0"/>
          <w:highlight w:val="none"/>
        </w:rPr>
      </w:pPr>
      <w:r/>
      <w:bookmarkStart w:id="21" w:name="_Toc20"/>
      <w:r>
        <w:rPr>
          <w:strike w:val="0"/>
          <w:szCs w:val="28"/>
          <w:highlight w:val="none"/>
        </w:rPr>
        <w:t xml:space="preserve">4.1.10. </w:t>
      </w:r>
      <w:r>
        <w:rPr>
          <w:strike w:val="0"/>
          <w:szCs w:val="28"/>
          <w:highlight w:val="none"/>
        </w:rPr>
        <w:t xml:space="preserve">Муниципальная программа «Противодействие коррупции</w:t>
      </w:r>
      <w:r>
        <w:rPr>
          <w:rFonts w:eastAsia="Calibri"/>
          <w:strike w:val="0"/>
          <w:szCs w:val="28"/>
          <w:highlight w:val="none"/>
        </w:rPr>
        <w:t xml:space="preserve">»</w:t>
      </w:r>
      <w:r>
        <w:rPr>
          <w:rFonts w:eastAsia="Calibri"/>
          <w:strike w:val="0"/>
          <w:highlight w:val="none"/>
        </w:rPr>
      </w:r>
      <w:bookmarkEnd w:id="21"/>
      <w:r>
        <w:rPr>
          <w:rFonts w:eastAsia="Calibri"/>
          <w:strike w:val="0"/>
          <w:highlight w:val="none"/>
        </w:rPr>
      </w:r>
      <w:r>
        <w:rPr>
          <w:rFonts w:eastAsia="Calibri"/>
          <w:strike w:val="0"/>
          <w:highlight w:val="none"/>
        </w:rPr>
      </w:r>
    </w:p>
    <w:p>
      <w:pPr>
        <w:rPr>
          <w:rFonts w:eastAsia="Calibri"/>
          <w:strike w:val="0"/>
          <w:szCs w:val="28"/>
          <w:highlight w:val="none"/>
        </w:rPr>
      </w:pPr>
      <w:r>
        <w:rPr>
          <w:rFonts w:eastAsia="Calibri"/>
          <w:strike w:val="0"/>
          <w:szCs w:val="28"/>
          <w:highlight w:val="none"/>
          <w:lang w:eastAsia="en-US"/>
        </w:rPr>
      </w: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«Противодействие коррупции» утверждена постановлением администрации города Владивостока от 20.09.2023 </w:t>
        <w:br/>
        <w:t xml:space="preserve">№ 2398.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36" w:lineRule="auto"/>
        <w:rPr>
          <w:rFonts w:eastAsia="Calibri"/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Ответственный исполнитель муниципальной программы</w:t>
      </w:r>
      <w:r>
        <w:rPr>
          <w:strike w:val="0"/>
          <w:szCs w:val="28"/>
          <w:highlight w:val="none"/>
        </w:rPr>
        <w:t xml:space="preserve"> - </w:t>
      </w:r>
      <w:r>
        <w:rPr>
          <w:strike w:val="0"/>
          <w:szCs w:val="28"/>
          <w:highlight w:val="none"/>
        </w:rPr>
        <w:t xml:space="preserve"> </w:t>
      </w:r>
      <w:r>
        <w:rPr>
          <w:rFonts w:eastAsia="Calibri"/>
          <w:strike w:val="0"/>
          <w:szCs w:val="28"/>
          <w:highlight w:val="none"/>
        </w:rPr>
        <w:t xml:space="preserve">управление муниципальной службы и кадров администрации города Владивостока.</w:t>
      </w: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szCs w:val="28"/>
          <w:highlight w:val="none"/>
        </w:rPr>
      </w:r>
    </w:p>
    <w:p>
      <w:pPr>
        <w:spacing w:line="336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</w:t>
      </w:r>
      <w:r>
        <w:rPr>
          <w:strike w:val="0"/>
          <w:szCs w:val="28"/>
          <w:highlight w:val="none"/>
        </w:rPr>
        <w:t xml:space="preserve">в 2025 году </w:t>
      </w:r>
      <w:r>
        <w:rPr>
          <w:strike w:val="0"/>
          <w:szCs w:val="28"/>
          <w:highlight w:val="none"/>
        </w:rPr>
        <w:t xml:space="preserve">представлена в таблице: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tbl>
      <w:tblPr>
        <w:tblW w:w="9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7"/>
        <w:gridCol w:w="2093"/>
        <w:gridCol w:w="1559"/>
        <w:gridCol w:w="1100"/>
      </w:tblGrid>
      <w:tr>
        <w:tblPrEx/>
        <w:trPr>
          <w:trHeight w:val="437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03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trike w:val="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bCs/>
                <w:strike w:val="0"/>
                <w:sz w:val="24"/>
                <w:highlight w:val="none"/>
              </w:rPr>
            </w:r>
            <w:r>
              <w:rPr>
                <w:bCs/>
                <w:strike w:val="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2093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bCs/>
                <w:strike w:val="0"/>
                <w:sz w:val="24"/>
                <w:highlight w:val="none"/>
              </w:rPr>
            </w:pPr>
            <w:r>
              <w:rPr>
                <w:bCs/>
                <w:strike w:val="0"/>
                <w:sz w:val="24"/>
                <w:highlight w:val="none"/>
              </w:rPr>
              <w:t xml:space="preserve">Уточненный план, </w:t>
            </w:r>
            <w:r>
              <w:rPr>
                <w:bCs/>
                <w:strike w:val="0"/>
                <w:sz w:val="24"/>
                <w:highlight w:val="none"/>
              </w:rPr>
              <w:br w:type="textWrapping" w:clear="all"/>
            </w:r>
            <w:r>
              <w:rPr>
                <w:strike w:val="0"/>
                <w:sz w:val="24"/>
                <w:highlight w:val="none"/>
              </w:rPr>
              <w:t xml:space="preserve">тыс. рублей</w:t>
            </w:r>
            <w:r>
              <w:rPr>
                <w:bCs/>
                <w:strike w:val="0"/>
                <w:sz w:val="24"/>
                <w:highlight w:val="none"/>
              </w:rPr>
            </w:r>
            <w:r>
              <w:rPr>
                <w:bCs/>
                <w:strike w:val="0"/>
                <w:sz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Исполнено</w:t>
            </w:r>
            <w:r>
              <w:rPr>
                <w:strike w:val="0"/>
                <w:sz w:val="24"/>
                <w:highlight w:val="none"/>
              </w:rPr>
            </w:r>
            <w:r>
              <w:rPr>
                <w:strike w:val="0"/>
                <w:sz w:val="24"/>
                <w:highlight w:val="none"/>
              </w:rPr>
            </w:r>
          </w:p>
        </w:tc>
      </w:tr>
      <w:tr>
        <w:tblPrEx/>
        <w:trPr>
          <w:trHeight w:val="303"/>
          <w:tblHeader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тыс. рублей</w:t>
            </w:r>
            <w:r>
              <w:rPr>
                <w:strike w:val="0"/>
                <w:sz w:val="24"/>
                <w:highlight w:val="none"/>
              </w:rPr>
            </w:r>
            <w:r>
              <w:rPr>
                <w:strike w:val="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%</w:t>
            </w:r>
            <w:r>
              <w:rPr>
                <w:strike w:val="0"/>
                <w:sz w:val="24"/>
                <w:highlight w:val="none"/>
              </w:rPr>
            </w:r>
            <w:r>
              <w:rPr>
                <w:strike w:val="0"/>
                <w:sz w:val="24"/>
                <w:highlight w:val="none"/>
              </w:rPr>
            </w:r>
          </w:p>
        </w:tc>
      </w:tr>
      <w:tr>
        <w:tblPrEx/>
        <w:trPr>
          <w:trHeight w:val="56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trike w:val="0"/>
                <w:color w:val="000000"/>
                <w:sz w:val="24"/>
                <w:highlight w:val="none"/>
              </w:rPr>
            </w:pPr>
            <w:r>
              <w:rPr>
                <w:bCs/>
                <w:strike w:val="0"/>
                <w:color w:val="000000"/>
                <w:sz w:val="24"/>
                <w:highlight w:val="none"/>
              </w:rPr>
              <w:t xml:space="preserve">Расходы по муниципальной программе всего, в том числе: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188,08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182,27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96,91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3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trike w:val="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Комплекс процессных мероприятий «Просвещение в сфере противодействия коррупции»</w:t>
            </w:r>
            <w:r>
              <w:rPr>
                <w:strike w:val="0"/>
                <w:sz w:val="24"/>
                <w:highlight w:val="none"/>
              </w:rPr>
            </w:r>
            <w:r>
              <w:rPr>
                <w:strike w:val="0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188,08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strike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182,27</w:t>
            </w:r>
            <w:r>
              <w:rPr>
                <w:strike w:val="0"/>
                <w:sz w:val="24"/>
                <w:szCs w:val="24"/>
                <w:highlight w:val="none"/>
                <w14:ligatures w14:val="none"/>
              </w:rPr>
            </w:r>
            <w:r>
              <w:rPr>
                <w:strike w:val="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strike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96,91</w:t>
            </w:r>
            <w:r>
              <w:rPr>
                <w:strike w:val="0"/>
                <w:sz w:val="24"/>
                <w:szCs w:val="24"/>
                <w:highlight w:val="none"/>
                <w14:ligatures w14:val="none"/>
              </w:rPr>
            </w:r>
            <w:r>
              <w:rPr>
                <w:strike w:val="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trike w:val="0"/>
                <w:sz w:val="24"/>
                <w:highlight w:val="none"/>
              </w:rPr>
            </w:pPr>
            <w:r>
              <w:rPr>
                <w:rFonts w:eastAsiaTheme="minorHAnsi"/>
                <w:strike w:val="0"/>
                <w:sz w:val="24"/>
                <w:highlight w:val="none"/>
                <w:lang w:eastAsia="en-US"/>
              </w:rPr>
              <w:t xml:space="preserve">Организация дополнительного профессионального образования муниципальных служащих администрации города Владивостока в сфере противодействия коррупции</w:t>
            </w:r>
            <w:r>
              <w:rPr>
                <w:bCs/>
                <w:strike w:val="0"/>
                <w:sz w:val="24"/>
                <w:highlight w:val="none"/>
              </w:rPr>
            </w:r>
            <w:r>
              <w:rPr>
                <w:bCs/>
                <w:strike w:val="0"/>
                <w:sz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9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188,08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182,27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right"/>
              <w:spacing w:line="240" w:lineRule="auto"/>
              <w:rPr>
                <w:bCs/>
                <w:sz w:val="24"/>
                <w:szCs w:val="24"/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96,91</w:t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  <w:r>
              <w:rPr>
                <w:bCs/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rPr>
          <w:strike/>
          <w:szCs w:val="28"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</w:p>
    <w:p>
      <w:pPr>
        <w:pStyle w:val="734"/>
        <w:ind w:right="0" w:firstLine="0"/>
        <w:jc w:val="center"/>
        <w:rPr>
          <w:strike w:val="0"/>
          <w:szCs w:val="28"/>
          <w:highlight w:val="none"/>
        </w:rPr>
      </w:pPr>
      <w:r/>
      <w:bookmarkStart w:id="22" w:name="_Toc21"/>
      <w:r>
        <w:rPr>
          <w:strike w:val="0"/>
          <w:szCs w:val="28"/>
          <w:highlight w:val="none"/>
        </w:rPr>
        <w:t xml:space="preserve">4.1.11. </w:t>
      </w:r>
      <w:r>
        <w:rPr>
          <w:strike w:val="0"/>
          <w:szCs w:val="28"/>
          <w:highlight w:val="none"/>
        </w:rPr>
        <w:t xml:space="preserve">Муниципальная программа «Жилье и городская среда»</w:t>
      </w:r>
      <w:r>
        <w:rPr>
          <w:strike w:val="0"/>
          <w:szCs w:val="28"/>
          <w:highlight w:val="none"/>
        </w:rPr>
      </w:r>
      <w:bookmarkEnd w:id="22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right="-144"/>
        <w:rPr>
          <w:rFonts w:eastAsia="Calibri"/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«Жильё и городская среда»</w:t>
      </w:r>
      <w:r>
        <w:rPr>
          <w:strike w:val="0"/>
          <w:szCs w:val="28"/>
          <w:highlight w:val="none"/>
        </w:rPr>
        <w:t xml:space="preserve"> утверждена постановлением администрации города Владивостока от 20.09.2023 </w:t>
        <w:br/>
      </w:r>
      <w:r>
        <w:rPr>
          <w:strike w:val="0"/>
          <w:szCs w:val="28"/>
          <w:highlight w:val="none"/>
        </w:rPr>
        <w:t xml:space="preserve">№ 2414</w:t>
      </w:r>
      <w:r>
        <w:rPr>
          <w:strike w:val="0"/>
          <w:szCs w:val="28"/>
          <w:highlight w:val="none"/>
        </w:rPr>
        <w:t xml:space="preserve">.</w:t>
      </w:r>
      <w:r>
        <w:rPr>
          <w:rFonts w:eastAsia="Calibri"/>
          <w:strike w:val="0"/>
          <w:szCs w:val="28"/>
          <w:highlight w:val="none"/>
        </w:rPr>
        <w:t xml:space="preserve"> </w:t>
      </w:r>
      <w:r>
        <w:rPr>
          <w:rFonts w:eastAsia="Calibri"/>
          <w:strike w:val="0"/>
          <w:szCs w:val="28"/>
          <w:highlight w:val="none"/>
        </w:rPr>
      </w:r>
      <w:r>
        <w:rPr>
          <w:rFonts w:eastAsia="Calibri"/>
          <w:strike w:val="0"/>
          <w:szCs w:val="28"/>
          <w:highlight w:val="none"/>
        </w:rPr>
      </w:r>
    </w:p>
    <w:p>
      <w:pPr>
        <w:contextualSpacing/>
        <w:ind w:right="-144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Ответственный исполнитель </w:t>
      </w:r>
      <w:r>
        <w:rPr>
          <w:rFonts w:eastAsia="Calibri"/>
          <w:strike w:val="0"/>
          <w:szCs w:val="28"/>
          <w:highlight w:val="none"/>
        </w:rPr>
        <w:t xml:space="preserve">муниципальной</w:t>
      </w:r>
      <w:r>
        <w:rPr>
          <w:strike w:val="0"/>
          <w:szCs w:val="28"/>
          <w:highlight w:val="none"/>
        </w:rPr>
        <w:t xml:space="preserve"> программы - управление содержания жилищного фонда администрации города Владивостока.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right="-144" w:firstLine="708"/>
        <w:jc w:val="left"/>
        <w:spacing w:line="312" w:lineRule="auto"/>
        <w:shd w:val="clear" w:color="auto" w:fill="ffffff" w:themeFill="background1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Соисполнители муниципальной программы: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after="0" w:line="312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управление городской среды администрации города Владивостока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left"/>
        <w:spacing w:after="0" w:line="312" w:lineRule="auto"/>
        <w:shd w:val="clear" w:color="auto" w:fill="ffffff" w:themeFill="background1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trike w:val="0"/>
          <w:sz w:val="28"/>
          <w:szCs w:val="28"/>
          <w:highlight w:val="none"/>
          <w:lang w:val="ru-RU"/>
        </w:rPr>
        <w:t xml:space="preserve">Участники </w:t>
      </w:r>
      <w:r>
        <w:rPr>
          <w:rFonts w:ascii="Times New Roman" w:hAnsi="Times New Roman" w:eastAsia="Times New Roman" w:cs="Times New Roman"/>
          <w:b w:val="0"/>
          <w:bCs w:val="0"/>
          <w:strike w:val="0"/>
          <w:sz w:val="28"/>
          <w:szCs w:val="28"/>
          <w:highlight w:val="none"/>
          <w:lang w:eastAsia="ru-RU"/>
        </w:rPr>
        <w:t xml:space="preserve">муниципальной программы: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spacing w:after="0" w:line="312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управление по вопросам топливно-энергетического комплекса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администрации города Владив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стока;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spacing w:after="0" w:line="312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административно-территориальное управление островных территорий администрации города Владивостока;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spacing w:after="0" w:line="312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управление дорог администрации города Владивостока;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right="-144" w:firstLine="708"/>
        <w:spacing w:line="312" w:lineRule="auto"/>
        <w:shd w:val="clear" w:color="auto" w:fill="ffffff" w:themeFill="background1"/>
        <w:rPr>
          <w:strike w:val="0"/>
          <w:highlight w:val="none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none"/>
          <w:lang w:eastAsia="ru-RU"/>
        </w:rPr>
        <w:t xml:space="preserve">управление архитектуры и строительства объектов Владивостокского городского округа администрации города Владивостока</w:t>
      </w:r>
      <w:r>
        <w:rPr>
          <w:strike w:val="0"/>
          <w:szCs w:val="28"/>
          <w:highlight w:val="none"/>
        </w:rPr>
        <w:t xml:space="preserve">.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firstLine="709"/>
        <w:jc w:val="both"/>
        <w:spacing w:after="0" w:line="360" w:lineRule="auto"/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Структура расходов муниципальной программы по исполнителям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  <w:br/>
        <w:t xml:space="preserve">2025 году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представлена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таблице</w:t>
      </w: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iCs/>
          <w:sz w:val="28"/>
          <w:szCs w:val="28"/>
          <w:lang w:eastAsia="ru-RU"/>
        </w:rPr>
      </w:r>
    </w:p>
    <w:tbl>
      <w:tblPr>
        <w:tblW w:w="9823" w:type="dxa"/>
        <w:tblInd w:w="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003"/>
        <w:gridCol w:w="2126"/>
        <w:gridCol w:w="1559"/>
        <w:gridCol w:w="1134"/>
      </w:tblGrid>
      <w:tr>
        <w:tblPrEx/>
        <w:trPr>
          <w:cantSplit/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jc w:val="center"/>
              <w:spacing w:after="0" w:line="36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Уточненный план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тыс. рублей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vMerge w:val="continue"/>
            <w:textDirection w:val="lrTb"/>
            <w:noWrap w:val="false"/>
          </w:tcPr>
          <w:p>
            <w:pPr>
              <w:ind w:left="14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тыс. рублей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Управление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содержания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жилищного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фонда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1 673 857,42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1 437 510,07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85,88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правление городской среды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2 937 889,20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2 840 897,16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96,70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Управление по вопросам топливно-энергетического комплекса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628 866,50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626 827,68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99,68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правление дорог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79 999,99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79 999,99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Административно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территориальное управление островных территорий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13 255,75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13 255,75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3" w:type="dxa"/>
            <w:vAlign w:val="center"/>
            <w:vMerge w:val="restart"/>
            <w:textDirection w:val="lrTb"/>
            <w:noWrap w:val="false"/>
          </w:tcPr>
          <w:p>
            <w:pPr>
              <w:ind w:left="142" w:right="0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Управление архитектуры и строительства объектов Владивостокского городского округа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5 247,00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5 226,61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99,61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ind w:right="-144" w:firstLine="708"/>
        <w:spacing w:line="312" w:lineRule="auto"/>
        <w:shd w:val="clear" w:color="auto" w:fill="ffffff" w:themeFill="background1"/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ind w:left="0" w:right="0" w:firstLine="709"/>
        <w:jc w:val="both"/>
        <w:spacing w:after="0" w:afterAutospacing="0" w:line="360" w:lineRule="auto"/>
        <w:tabs>
          <w:tab w:val="left" w:pos="851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Объем средств бюджета Владивостокского городского округа на финансирование мероприятий муниципальной программы в 2025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году представлен в следующей таблице: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tbl>
      <w:tblPr>
        <w:tblStyle w:val="769"/>
        <w:tblW w:w="0" w:type="auto"/>
        <w:tblInd w:w="108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CellMar>
          <w:left w:w="0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60"/>
        <w:gridCol w:w="2126"/>
        <w:gridCol w:w="1559"/>
        <w:gridCol w:w="1134"/>
      </w:tblGrid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96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none"/>
              </w:rPr>
              <w:t xml:space="preserve">Источник финансирования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before="0" w:after="0"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Уточненный план, </w:t>
              <w:br/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9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Исполнено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тыс. рублей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%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contextualSpacing w:val="0"/>
              <w:ind w:left="57" w:right="0" w:firstLine="0"/>
              <w:jc w:val="left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Всего расходов, в том числе за счет: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339 115,86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003 717,26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налоговых и неналоговых доходов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1 9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97,5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contextualSpacing w:val="0"/>
              <w:ind w:left="57" w:right="0" w:firstLine="0"/>
              <w:jc w:val="left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межбюджетных трансфертов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2 955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827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2 673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526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contextualSpacing w:val="0"/>
              <w:ind w:left="57" w:right="0" w:firstLine="0"/>
              <w:jc w:val="left"/>
              <w:spacing w:line="240" w:lineRule="auto"/>
              <w:rPr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ных дотаций для финансового обеспечения осуществления городом Владивостоком функций административного центра Приморского края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343 014 ,42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14:ligatures w14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339 245,67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98,90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160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restart"/>
            <w:textDirection w:val="lrTb"/>
            <w:noWrap w:val="false"/>
          </w:tcPr>
          <w:p>
            <w:pPr>
              <w:contextualSpacing w:val="0"/>
              <w:ind w:left="57" w:right="0" w:firstLine="0"/>
              <w:jc w:val="left"/>
              <w:spacing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ных дотаций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t xml:space="preserve"> края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0" w:type="auto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pPr>
        <w:ind w:right="-144" w:firstLine="708"/>
        <w:spacing w:line="312" w:lineRule="auto"/>
        <w:shd w:val="clear" w:color="auto" w:fill="ffffff" w:themeFill="background1"/>
        <w:rPr>
          <w:strike w:val="0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rPr>
          <w:iCs/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в 2025 году представлена в таблице</w:t>
      </w:r>
      <w:r>
        <w:rPr>
          <w:bCs/>
          <w:iCs/>
          <w:strike w:val="0"/>
          <w:szCs w:val="28"/>
          <w:highlight w:val="none"/>
        </w:rPr>
        <w:t xml:space="preserve">:</w:t>
      </w:r>
      <w:r>
        <w:rPr>
          <w:iCs/>
          <w:strike w:val="0"/>
          <w:highlight w:val="none"/>
        </w:rPr>
      </w:r>
      <w:r>
        <w:rPr>
          <w:iCs/>
          <w:strike w:val="0"/>
          <w:highlight w:val="none"/>
        </w:rPr>
      </w:r>
    </w:p>
    <w:tbl>
      <w:tblPr>
        <w:tblW w:w="978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034"/>
        <w:gridCol w:w="2092"/>
        <w:gridCol w:w="1559"/>
        <w:gridCol w:w="1100"/>
      </w:tblGrid>
      <w:tr>
        <w:tblPrEx/>
        <w:trPr>
          <w:trHeight w:val="11"/>
          <w:tblHeader/>
        </w:trPr>
        <w:tc>
          <w:tcPr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-142" w:right="-75" w:firstLine="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Уточненный план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тыс. рублей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2"/>
            <w:tcW w:w="2659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-1" w:firstLine="0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0"/>
          <w:tblHeader/>
        </w:trPr>
        <w:tc>
          <w:tcPr>
            <w:tcW w:w="50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092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-1" w:firstLine="0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тыс. 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100" w:type="dxa"/>
            <w:vAlign w:val="center"/>
            <w:textDirection w:val="lrTb"/>
            <w:noWrap w:val="false"/>
          </w:tcPr>
          <w:p>
            <w:pPr>
              <w:contextualSpacing w:val="0"/>
              <w:ind w:left="0" w:right="-1" w:firstLine="0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%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всего, в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за счет: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339 115,86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 003 717,26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,72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80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1.Подпрограмма «Формирование современной городской среды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en-US"/>
              </w:rPr>
              <w:t xml:space="preserve">907 603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906 623,45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99,89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1076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pStyle w:val="753"/>
              <w:numPr>
                <w:ilvl w:val="1"/>
                <w:numId w:val="22"/>
              </w:numPr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Муниципальный проект «Формирование комфортной городской среды, входящий в состав регионального проекта  «Формирование комфортной городской среды»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188 841,01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ru-RU"/>
              </w:rPr>
              <w:t xml:space="preserve">187 861,23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99,48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1.1.1.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мероприятие «Благоустройство общественных территорий Владивостокского городского округа»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143 967,14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ru-RU"/>
              </w:rPr>
              <w:t xml:space="preserve">142 987,36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99,32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9"/>
        </w:trPr>
        <w:tc>
          <w:tcPr>
            <w:gridSpan w:val="4"/>
            <w:shd w:val="clear" w:color="ffffff" w:fill="ffffff"/>
            <w:tcW w:w="9785" w:type="dxa"/>
            <w:vAlign w:val="center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благоустроено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территории: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районе ул. Борисенко, 102 г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районе ул. Не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красовская, 96-98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районе памятник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а М.И. Кутузова ул. Русская, 41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разработана ПСД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на благоустройство общественных территорий: сквер </w:t>
              <w:br/>
              <w:t xml:space="preserve">им. М.И. Кутузова, территории, расположенной северо-восточнее кинотеатра «Нептун», ул. Русская, 41; территории, расположенной западнее домов № 96-98 по ул. Некрасовская; аллеи в районе ул. Кирова, 5-9;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осуществлено технологическое присоединение к электрическим сетям ("Общественная территория в районе ул. Ватутина, 26"; "Общественная территория в районе ул. Кирова, 116"; "Аллея Космонавтов" к электрическим сетям, расположенного по адресу: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Приморский край, г. Владивосток, в районе жилых домов по ул. Сахалинская,15-39);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устройство освещения и видеонаблюдения в районе общественных территорий по адресам: ул. Кирова, 116 г.; ул. Ватутина ,26; ул. Тобольская, 10.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разработана проектная документация по благоустройству территории: "Парк отдыха в Снеговой Пади";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разработке проектной документации по благоустройству территории парка культуры и отдыха имени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С.Лазо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(3 этап);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разработана проектная документация по благоустройству территории «Парк отдыха в Снеговой Пади» (1 этап), дополнительное проектирование (малые архитектурные формы);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разработана проектная документация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по благоустройству территории «Парк отдыха в Снеговой Пади» (1 этап).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Дополнительное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проектирование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  (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световая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концепция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en-US" w:eastAsia="ru-RU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559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1.1.2. мероприятие «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дворовых территорий Владивостокского городского округа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44 873,87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44 873,87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9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both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 было благоустроено 3 территори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и: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ул. Анны Щетининой, д. 9; </w:t>
              <w:br/>
              <w:t xml:space="preserve">ул. Анны Щетининой, д. 15; ,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Невская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д. 16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59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pStyle w:val="753"/>
              <w:numPr>
                <w:ilvl w:val="1"/>
                <w:numId w:val="22"/>
              </w:numPr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Муниципальный проект «Благоустройство придомовых территорий Владивостокского городского округа», входящий в состав регионального проекта «Поддержка муниципальных программ по благоустройству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территорий муниципальных образований»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1 052,63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1 052,63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9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1.2.1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мероприятие «Благоустройство территорий, детских и спортивных площадок на территории Владивостокского городского округа».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1 052,63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1 052,63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textDirection w:val="lrTb"/>
            <w:noWrap w:val="false"/>
          </w:tcPr>
          <w:p>
            <w:pPr>
              <w:ind w:left="0" w:right="-1" w:firstLine="0"/>
              <w:spacing w:after="0" w:afterAutospacing="0" w:line="283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авершены и оплачены в полном объёме работы по благоустройству сквера у памятника "Минерам", расположенного по адресу г. Владивосток, ул. Коммунаров,21-23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pStyle w:val="753"/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1.3.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«Комплексное благоустройство  дворовых территорий Владивостокского городского 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332 147,44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332 147,44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137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1.3.2. Благоустройство территорий Владивостокского городского округа в рамках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реализации мероприятий планов социального развития центров экономического роста субъектов Российской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дальневосточных дворов)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332 147,44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332 147,44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0"/>
        </w:trPr>
        <w:tc>
          <w:tcPr>
            <w:gridSpan w:val="4"/>
            <w:shd w:val="clear" w:color="ffffff" w:fill="ffffff"/>
            <w:tcW w:w="9785" w:type="dxa"/>
            <w:vAlign w:val="center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выполнены работы на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дворовых территориях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textDirection w:val="lrTb"/>
            <w:noWrap w:val="false"/>
          </w:tcPr>
          <w:p>
            <w:pPr>
              <w:pStyle w:val="753"/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1.4.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«Строительство, реконструкция объектов муниципальной собственности»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«Создание и эксплуатация парка "Минный городок" в городе Владивостоке»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385 562,15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385 562,15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выплачены средства концессионеру в соответствии с концессионным соглашением  в части финансового обеспечения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Подпрограмма «Благоустройство территорий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3 119 495,14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3 021 448,62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96,86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414 255,31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408 534,28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98,62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«Расходы на обеспечение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выполнения функций управления городской среды администрации города Владивостока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67 436,06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66 279,67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98,29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Средства направлены на обеспечение выполнения функций аппарата управления городской среды (на оплату труда работников, начисления на оплату труда работников, командировочных расходов, закупки в сфере информационных технологий, оплату имущественных налогов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Расходы на обеспечение выполнения функций муниципального казённого учреждения «Зеленый Владивосток»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346 819,25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342 254,61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98,68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Средства направлены на оплату труда работников, начислен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ия на оплату труда работников, командировочных расходов, на закупки в сфере информационных технологий,  коммунальные услуги, услуги охраны, услуги по содержанию общедомового имущества, а приобретение ГСМ, спецодежды, на оплату имущественных налогов и т.д.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«Озеленение территории Владивостокского городского округа»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«Текущее содержание и ремонт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зеле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ных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насаждений»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4 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val="ru-RU"/>
              </w:rPr>
              <w:t xml:space="preserve">118 208,35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94,92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 выполнены работы: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вывоз отходов не относящихся к ТКО - 2 864,68 т;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обработка древесных отходов – 3841,36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выкашивание зеленых зон – 1 693 599,14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инсектицидная обработка –  218482,4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снос аварийных деревьев 850 ед., санитарная обрезка - 642 ед., омолаживающая обрезка – 189 ед., формовочная обрезка – 738 ед.;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приобретение земли растительной –  1849м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приобретение рассады однолетних цветочных растений – 260070 шт.;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приобретение луковиц тюльпанов – 41 000 шт.;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приобретение агрохимической продукции (укрывной материал 3350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.м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сетка садовая – 1000 м. погон, лента бордюрная – 2000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п.м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якоря для крепления материала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</w:t>
              <w:br/>
              <w:t xml:space="preserve">4300 шт., садовый инструмент – 450 шт., расходные материалы для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бензоинструмента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– 2197 шт., корд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триммерный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60000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п.м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., мульча - 102000 л);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озеленение территорий: устройство газонов - 580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устройство многолетних цветников - 75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посадка деревьев, кустарников, многолетних цветов – 1577 шт.;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приобретение саженцев деревьев, кустарников и многолетних цветов - 14067 шт.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2.3.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Муниципальный проект «Благоустройство территорий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2 522,20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508,34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20,15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2.3.1. «Строительство и реконструкция муниципальных объектов наружного освещения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2 522,20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508,34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20,15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 выполнены следующие работы: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реконструкци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Сооружения – Подсветка ордена Победы в районе остановки «Инструментальный завод»;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реконструкци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объектов наружного освещения на территории г. Владивостока, расположенных в районе пешеходных переходов (в районе д. 20 по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Кипарисова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(в сторону о. Русский), в районе д. 20 по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Кипарисова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(в сторону центра города), в рай-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оне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д. 155 по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Светланская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в районе д. 66, 83 по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Светланская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, в районе д. 2 по ул. Фирсова, в районе д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25 по ул. Уборевича);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– реконструкция объекта «Наружное освещение «Мемориальный комплекс «Боевая Слава Краснознаменного Тихоокеанского флота» в районе Петра Великого, 4»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«Благоустройство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977 448,21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960 133,39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98,23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2.4.1. «Текущее содержание, техническое обслуживание, эксплуатация муниципальных объектов наружного освещения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518 642,61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518 642,61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 рамках мероприятия осуществлялось текущее содержание, техническое обслуживание и эксплуатацию сетей уличного освещения, которое позволило содержать в эксплуатационном состоянии 32800 светильников и 9147 метров подсветки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2.4.2. «Текущее содержание, техническое обслуживание и эксплуатация фонтанов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18 352,67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18 352,67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 рамках мероприятия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содержалось в эксплуатационном состоянии 5 фонтанов по </w:t>
              <w:br/>
              <w:t xml:space="preserve">ул. Фокина, 1; большого цветомузыкального фонтана на Спортивной набережной; комплекса водопадов и насосной станции на территории кампуса ДВФУ с плавающим фонтаном на территории кампуса ДВФУ о. Русский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2.4.3. «Организация и содержание мест захоронений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31 645,58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28 251,29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89,27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 рамках мероприятия выполнены следующие работы: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вывоз ТКО с контейнеров, расположенных на контейнерных площадках, на территориях общественных кладбищ - 1089,5 м</w:t>
            </w:r>
            <w:r>
              <w:rPr>
                <w:rFonts w:ascii="Times New Roman" w:hAnsi="Times New Roman" w:eastAsia="Times New Roman" w:cs="Times New Roman"/>
                <w:i/>
                <w:sz w:val="24"/>
                <w:vertAlign w:val="super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организация и содержание мест захоронения –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содержалось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5 муниципальных кладбищ («Лесное», «Морское», «Центральное», «Аякс», «Подножье»);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демонтаж аварийных конструкций колумбария на общественном кладбище «Морское» г. Владивостока;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разработка грунта экскаватором на территории общественного кладбища «Морское» - количество 300 машино-часов;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инвентаризация кладбищ, стен скорб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и, крематориев, а также мест захоронений на кладбищах и в стенах скорби на 5 кладбищах (Лесное, Центральное, Морское, Попова, Подножье), 219,588 га территорий кладбищ, кроме того оплачены мероприятия проведенные в 2024 году на 28,62 га территорий кладбищ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2.4.4. «Благоустройство и содержание объектов, территорий общего пользования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349 586,35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335 665,82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96,02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В рамках мероприятия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ыполнены и приняты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работы по архитектурно-художественному оформлению подпорных стен: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1. в районе проспекта 100-летия Владивостока,159, ост. Академическая; 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2. в районе проспекта 100-летия Владивостока,145 А; 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3. в районе ул. Маковского,9. 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4. в районе ул. Партизанского проспекта, ост. Инструментальный завод на территории города Владивостока; 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5. 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 районе ул. Партизанский проспект (ост.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Картинная галерея); 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6.в районе ул. Павленко,4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ind w:left="0" w:right="-1" w:firstLine="0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 рамках мероприяти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й,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проводи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мых управлением городской среды,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выполнены следующие работы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разработка проектно-сметной документации на капитальный ремонт подпорной стены по адресу: ул. 1-я Морская, д. № 10в;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актуализация проектно-сметной документации (далее – ПСД) на выполнение работ по капитальному ремонту подпорной стены по адресу: ул. Черняховского, д.13;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разработка ПСД на ремонт подпорных стен и лестничных спусков – 17 шт.;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вывоз ТКО из контейнеров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. П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атрокл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Бархатная, Сипягина, б. Стеклянная –  580,25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аренда биотуалетов – 32 шт.;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дератизация,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аккарицидная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ларвицидная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обработка территорий – 4 089 241м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вывоз и утилизация трупов животных, их фрагментов – 2952 кг;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благоустройство территории воинского захоронения в районе Кладбища "Морское" (декоративное освещение,  оборудование дополнительного лестничного марша – 1 объект);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 благоустройство места захоронения погибшего на СВО вице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– г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убернатора </w:t>
              <w:br/>
              <w:t xml:space="preserve">С. Ефремова и бойца А.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Иваровского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– 1 объект;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текущее содержание зоны отдыха «Утиная заводь» в районе дома № 73 по </w:t>
              <w:br/>
              <w:t xml:space="preserve">ул. Успенского, микрорайона «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Фанзавод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» - 1 территория;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вывоз невостребованных тел произведен в количестве 150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 оплата в 2026 году не произведена по причине несвоевременного предоставления отчетных документов со стороны подрядчика. Оплата будет произведена в 2026 году.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приобретение расходных материалов для проведения общегородского субботника – мешки 25 000 шт.; перчатки 17 448шт.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Неисполнение по причине – разработанная ПСД на капитальный ремонт подпорной стены по адресу: ул. 1-я Морская, д. № 10в направлена подрядчиком в государственную экспертизу, до настоящего момента заключение не получено (оплата в 2026 году).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0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МКУ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ЗеленВлад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выполнены следующие работы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z w:val="24"/>
                <w:szCs w:val="24"/>
                <w:u w:val="none"/>
              </w:rPr>
              <w:t xml:space="preserve">:</w:t>
            </w:r>
            <w:r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транспортирование и утилизация отработанных автопокрышек – 1 136 288 кг;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содержание колодцев децентрализованного водоснабжения – 43 шт.;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содержание контейнерных площадок – в 4 районах города (Ленинский, Первомайский,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Первореченский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Фрунзенский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ликвидации несанкционированных свалок – 7 551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содержание территории общего пользования зоны отдыха "Площадь Спортивная Гавань" –  42 556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установка уличных светильников на солнечных батареях в сквере Пожарных и спасателей расположенном в районе д.5 по ул. Русская – 5 шт.;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проведению санитарно-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противоэпидемилогических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(профилактических) мероприятий (дератизации) территорий скверов– 111 479,07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технологическое присоединение благоустроенных объектов – 8 объектов;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установка опор освещения на общественной территории в районе ул. Ватутина, </w:t>
              <w:br/>
              <w:t xml:space="preserve">д. 26 в г. Владивостоке – 1 шт.; 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none"/>
              </w:rPr>
              <w:t xml:space="preserve">- ремонт пирса и мостиков в ландшафтно-парковой зоне ДВФУ о. Русский – </w:t>
              <w:br/>
              <w:t xml:space="preserve">789,61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none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none"/>
              </w:rPr>
              <w:t xml:space="preserve"> и 848,8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none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none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изготовление и монтаж букв из ПВХ на арках в сквере Город-побратимов, расположенном по адресу г. Владивосток, 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Пограничная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д. 6 – 148 шт.; 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благоустройство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ландшафтно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- парковой зоны ДВФУ о. Русский– 791,24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очистке крутых и скалистых склонов – 36 500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приобретение плит облицовочных из природного камня для набережной ДВФУ –  705,6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-приобретение плит гранитных тротуарных (бордюр) -1000 м.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оказание услуг по откачке и вывозу жидких бытовых отходов из туалетных модулей – 52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0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u w:val="none"/>
              </w:rPr>
              <w:t xml:space="preserve">МБУ «Лазо»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в рамках выполнения муниципального задания "Организация благоустройства и озеленения" – содержалось 30 территорий (скверы,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экотропы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пляжи,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велосипедно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-беговые дорожки, набережные) общей площадью 132778,5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в рамках содержания указанных территорий осуществлялись следующие мероприятия: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очистка урн от мусора;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очистка территорий от случайного мусора;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подметание твердых покрытий, площадок и настилов от грязи и мусора;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очистка твердых покрытий, площадок, дорожек, настилов, парковок, а/б проездов от снега и льда;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мойка урн, скамеек;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содержание газонов (прочесывание, стрижка);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содержание групповых и одиночных посадок деревьев: обрезка, прополка,  рыхление, внесение удобрений, подвязка, полив;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содержание живой изгороди: стрижка, прополка, рыхление, полив.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0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u w:val="none"/>
              </w:rPr>
              <w:t xml:space="preserve">МБУ «Лазо»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в рамках предоставления субсидии на иные цели осуществлены мероприятия: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разработка проектно-сметной документации по благоустройству территории (монтаж электроустановок) объекта: "Пляжная территория бухты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Ахлестышева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  <w:br/>
              <w:t xml:space="preserve">г. Владивосток";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устройство видеонаблюдения  зоны отдыха Спортивная Гавань;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оказание услуг по тематическому оформлению общественных территорий к Новому 2026 году;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- выполнение работ по выявлению и устранению неисправностей в системе освещения на объекте «Сквер по улице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Верхнепортовая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по адресу: г. Владивосток, </w:t>
              <w:br/>
              <w:t xml:space="preserve">ул.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Верхнепортовая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41б, 41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»;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выполнение работ по монтажу электроустановки объекта "Пляжная территория бухты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Ахлестышева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";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осуществление технологического присоединения к электрическим сетям на объекте благоустройства «Парк отдыха в Снеговой Пади» по адресу: г. Владивосток, </w:t>
              <w:br/>
              <w:t xml:space="preserve">ул. Адмирала Смирнова;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оказание услуг по замене корпуса щита наружного освещения, согласно Ведомости объемов работ, Плана уличного освещения на общественной территории «Сквер Некрасовский.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Неисполнение сложилось в результате экономии по факту проведения аукционных процедур на заключение контрактов.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0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По Административно-территориальному управлению островных территорий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рамках исполнения мероприятия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осуществлялся вывоз мусора из контейнеров на общественных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территориях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  <w:p>
            <w:pPr>
              <w:ind w:left="0" w:right="-1" w:firstLine="0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По управлению дорог в рамках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мероприятий выполнены следующие работы: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- уборка мест (площадок) накопления твердых коммунальных отходов – </w:t>
              <w:br/>
              <w:t xml:space="preserve">684 площадки;</w:t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sz w:val="24"/>
                <w:highlight w:val="white"/>
              </w:rPr>
            </w:r>
          </w:p>
          <w:p>
            <w:pPr>
              <w:ind w:left="0" w:right="-1" w:firstLine="709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</w:rPr>
              <w:t xml:space="preserve">- перемещение брошенных разукомплектованных транспортных средств к месту хранения – 47 ед.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2.4.5. «Демонтаж и хранение демонтированных незаконно установленных объектов на территории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58 984,10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58 984,10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муниципальным бюджетным учреждением «Содержание городских территорий» выполнены следующие виды работ: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освобождение земельных участков и благоустройство после сноса (хранение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демонтированных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объектов) – 1 197 870,02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 освобождение земельных участков и благоустройство после сноса (демонтаж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незаконно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установленных объектов) – 1 291,00 ед.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2.4.7. «Установка подсветки объектов»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236,90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236,90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 рамках мероприятия выполнены следующие работы: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– по демонтажу бетонной опоры контактной сети в районе Океанского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-та, 52 на перекрестке с ул. Хабаровской;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-1" w:firstLine="709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– по демонтажу аварийной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железо-бетонной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опоры электроснабжения, расположенной по адресу: г. Владивосток, Народный пр-т, 28 ст.7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2.5.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Муниципальный проект «Создание объектов ритуального назначения на территории Владивостокского городского округа»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«Строительство объектов ритуального назначения некапитального характера на общественных кладбищах, расположенных на территории муниципальных образований, и обустройству прилегающей к ним территории 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49 429,70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49 319,78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99,78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 рамках мероприятия осуществлялось строительство дома прощаний и благоустройство прилегающей территории кладбища «Морское».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Осуществлены мероприятия по строительству (изготовление и монтаж) объекта ритуального назначения некапитального характера на кладбище "Морское" и благоустройство прилегающей  территории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2.6.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«Благоустройство территорий и общественных пространств Владивостокского городского округа»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общественных территорий, в том числе ремонт подпорных стен и лестниц на территории Владивостокского городского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312 776,75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312 612,64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99,95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both"/>
              <w:spacing w:after="0" w:afterAutospacing="0" w:line="283" w:lineRule="atLeast"/>
              <w:shd w:val="clear" w:color="auto" w:fill="ffff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 рамках мероприятия выполнены работы: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капитальный ремонт подпорной стены по адресам: ул.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Черняховского, 13; ул. Луговая, д. №№ 56, 58, 64 – 2 шт.; 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- ремонт подпорных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тен: ул. Адмирала Кузнецова д. 52; ул. Калинина д. 279а; </w:t>
              <w:br/>
              <w:t xml:space="preserve">ул. Котельникова д. 2; ул. Адмирала Кузнецова д. 66а; в районе дома № 13 по ул. Кирова; </w:t>
              <w:br/>
              <w:t xml:space="preserve">в районе дома № 6 по ул. Аллилуева; в районе дома № 8д по ул. Суханова; в районе дома </w:t>
              <w:br/>
              <w:t xml:space="preserve">№ 18 по ул. Сабанеева;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 в районе дома № 15/1 по ул. Шкипера Гека – 9 шт.;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-1" w:firstLine="709"/>
              <w:jc w:val="both"/>
              <w:spacing w:after="0" w:afterAutospacing="0" w:line="283" w:lineRule="atLeast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- ремонт лестниц: о. Русский: в районе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пам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. Елисееву,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бух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. Парис;  в районе </w:t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пам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. Героям-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Тихоокенцам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пос. Подножье; в районе улиц: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Аллилуева, д. 5;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Баляева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</w:t>
              <w:br/>
              <w:t xml:space="preserve">д. 36 – 40;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Жигура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18 – в сторону ул.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Жигура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12;Толстого, д. 47; Толстого, д. 25; Державина, д. 16; Тунгусская, д. 24;. Пионерская, д. 1; Пушкинская, д. 13а; в районе </w:t>
              <w:br/>
              <w:t xml:space="preserve">ул. Снеговая, д. 127; Океанский, д. 70;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Невельского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29; Юмашева, д. 8-10;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Нейбута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</w:t>
              <w:br/>
              <w:t xml:space="preserve">д. 30;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Жигура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42-44;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Ладыгина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11-13;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Каплунова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15-11;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Нейбута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26; Кузнецова, д. 56а; Славянская, д. 17;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Светланская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85-87; Чумака, д. Станюковича, </w:t>
              <w:br/>
              <w:t xml:space="preserve">д. 14; 1-я Морская, д. 8; в районе ул. Калинина на ст. Мальцевская;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Надибаидзе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д. 1-11; Краева, д. 7; Интернациональная, д. 57-59; Вилкова в сторону ул. Киевской, д. 8;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 Новожил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ова, д. 35; Беляева, д. 7; Кипарисовая, д. 6; Можайская, д. 14; Зои Космодемьянской, д. 15;  Ильичёва, д. 8; Горшкова, д. 40;  Русская, д. 21;  Давыдова, д. 16; Русская, д. 82; Лермонтова, д. 81; в районе ул. Кузнецова, д. 52;    ул. Терешковой 21-28; ул.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Гризодубовой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50; л.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Гульбиновича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, 13; в районе сквера «Некрасовский» – 47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2.7.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«Обустройство туристической тропы «Трансроссийский веломаршрут Санкт-Петербург-Владивосток. Русская велотропа»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Обустроено 6,5 км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велотропы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138 949,73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138 949,73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ind w:left="0" w:right="-1" w:firstLine="0"/>
              <w:jc w:val="right"/>
              <w:spacing w:before="0"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100,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2.8.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«Благоустройство территорий Владивостокского городского округа источником финансового обеспечения которых является специальный казначейский кредит»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230 000,00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167 657,34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72,89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5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2.8.3.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объекта "Парка культуры и отдыха им.Сергея Лазо (Лит.Д., Лит 1) (Приморский край, г.Владивосток, ул.Десятая,44) (3 очередь)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120 000,00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57 658,04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48,05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Осуществлено благоустройство объекта «Парка культуры и отдыха им. Сергея Лазо» (Лит.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Д., Лит 1) (Приморский край, г. Владивосток, ул. Десятая,44) (3 очередь)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2.8.4.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объёкта: "Парк отдыха в Снеговой Пади" (1 этап)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Произведено благоустройство объекта "Парк отдыха в Снеговой Пади" (1 этап)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110 000,00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109 999,30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99,99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2.9.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«Создание постоянно действующей экспозиции Национального центра "Россия"»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778 570,56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774 518,9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99,48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afterAutospacing="0" w:line="283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Выполнение ремонтных работ здания филиала Националь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ного центра "Россия" в Приморском крае, расположенного по адресу г. Владивосток ул. Батарейная д. 4, и благоустройство прилегающей к зданию территории в целях создания постоянно действующей экспозиции Национального Центра "Россия" (2 этапа 2025-2026 годы)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2.10.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Муниципальный проект «Обустройство туристического центра города Владивостока в соответствии с туристическим кодом центра города", входящий в региональный проект "Создание номерного фонда, инфраструктуры и новых точек притяжения" (Приморский край)»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91 005,85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91 005,85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100,00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 w:right="-1" w:firstLine="0"/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Выполнены мероприятия по подготовке концепции архитектурной фасадной подсветки зданий с установкой и подключением элементов искусственного освещения.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ind w:left="0" w:right="-1" w:firstLine="0"/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Размещены Арт-объекты, в том числе: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1) Светодиодная фигура "Ангел со звездами";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2) Световая арка "Круглая";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3) Карета с лошадьми";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4) Светодиодная фигура "Лошадь с подарками";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5) Семья оленей – 1 шт., Семья зайцев набор – 2 шт., Заяц на задних лапах – 2 шт., Белка – 1 шт. (сквер им. Суханова);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6) Петух – 5 шт., (ул.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Алеутская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52);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7) Зайцы 2д набор – 3 шт., Шар каркасный – 4 шт. («Набережная Спортивной Гавани»);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8) Конь – 2 шт., Рамка № 1 – 1 шт. (ул. Адмирала Фокина, д.23);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9) Композиция зайчиков 2Д – 1 шт., Шар каркасный – 3 шт. (Уборевича,8 (смотровая площадка));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10) Ангелы 2д – 1 шт. (Покровский парк (Океанский пр-т,41);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11) Месяц – 2 шт., Шар каркасный Ø 0,8 м – 5 шт., Шар каркасный Ø 1,0 м – 3 шт.,  Шар каркасный Ø 0,6 м – 8 шт. (пешеходная зона на улице Фокина (Арбат);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0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- размещены фотозоны на общественных территориях ВГО, в том числе: 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1) сквер им. Суханова;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2) сквер Приморских кондитеров, ул. 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Алеутская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52;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3) Набережная Спортивной Гавани;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4) площадь Фокина, ул. Адмирала Фокина, д.23;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5) ул. Уборевича, 8 (смотровая площадка);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contextualSpacing/>
              <w:ind w:left="0" w:right="-1" w:firstLine="709"/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6) Покровский парк (Океанский пр-т,41);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ind w:left="0" w:right="-1" w:firstLine="709"/>
              <w:jc w:val="lef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7) пешеходная зона на улице Фокина (Арбат)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15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 Подпрограмма «Жилищный фонд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1 312 017,49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1 075 645,19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81,98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«Капитальный ремонт жилищного фонда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1 092 347,63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857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502,22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78,50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 Отдельное мероприятие «Проведение капитального ремонта многоквартирных домов города Владивостока»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254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928,83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242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820,61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95,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Ремонт 62 объектов (кровель,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фасадов,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отопление, ХГВС, канализация, системы электроснабжения, общестроительные работы в многоквартирных домах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),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выполнены подрядные работы по аварийно-восстановительному ремонту жилищного фонда на </w:t>
              <w:br/>
              <w:t xml:space="preserve">9 объектах, выполнены работы по изготовлению проектной документации  на капитальный ремонт 140 объектов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2. Отдельное мероприятие «Реконструкция, капитальный и текущий ремонт жилых помещений муниципального жилищного фонда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683,62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526,52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98,66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Произведен капитальный ремонт 10 муниципальных квартир, текущий ремонт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br/>
              <w:t xml:space="preserve">в 5 муниципальных квартирах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3.1.3. Реализация полномочий собственника жилых помещений по проведению капитального ремонта общего имущества в многоквартирных домах Владивостокского городского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83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148,86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83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148,66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99,99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83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Обеспечено своевременное перечисление взносов на капитальный ремонт за муниципальные жилые помещения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1.5.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Отдельное мероприятие «Создание условий для обеспечения качественными услугами жилищного хозяйства Владивостокского городского округа»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Произведен ремонт подъездов в 24 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35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307,91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205,27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56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Отдельное мероприятие «Предоставление суб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сидий юридическим лицам (за исключением субсидий государственным, муниципальным учреждениям), индивидуальным предпринимателям на возмещение затрат в связи с выполнением работ по капитальному ремонту многоквартирных домов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201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213,30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181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111,24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90,01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Были выполнены работы по капитальному ремонту перекрытий в 9 МКД, в 24 МКД заменены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тепловые узлы,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установлены/капитально отремонтировано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лифтовое оборудование по 5 адресам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tabs>
                <w:tab w:val="left" w:pos="0" w:leader="none"/>
                <w:tab w:val="left" w:pos="99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Отдельное мероприятие «Сохранение внешнего историко-архитектурного облика зданий, сооружений города Владивостока»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265 754,02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155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735,90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none"/>
                <w:lang w:eastAsia="ru-RU"/>
              </w:rPr>
              <w:t xml:space="preserve">58,60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Произведен капитальный ремонт 16 фасадов, и 13 кровель в многоквартирных домах города Владивостока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Отдельное мероприятие «Капитальный ремонт многоквартирных домов в историческом центре города Владивостока»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211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 376,10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136 034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,18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</w:rPr>
              <w:t xml:space="preserve">64,36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Произведен капитальный ремонт 8 многоквартирных домов в историческом центре города Владивостока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3.1.9.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Содержание мест (площадок) накопления твердых коммунальных отходов на территории Владивостокского городского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ru-RU"/>
              </w:rPr>
              <w:t xml:space="preserve">28 934,99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28 919,84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none"/>
                <w:lang w:eastAsia="ru-RU"/>
              </w:rPr>
              <w:t xml:space="preserve">99,95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426"/>
        </w:trPr>
        <w:tc>
          <w:tcPr>
            <w:gridSpan w:val="4"/>
            <w:shd w:val="clear" w:color="ffffff" w:fill="ffffff"/>
            <w:tcW w:w="9785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Оборудовано 48 мес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т (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площадок) накопления твердых коммунальных отходов, закуплено </w:t>
              <w:br/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250 контейнеров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3.2.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204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 488,48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 986,56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99,27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Расходы на обеспечение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выполнения функций управления содержания жилищного фонда администрации города Владивостока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131 738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,40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130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 444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61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99,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02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.2 Расходы на обеспечение выполнения функций муниципального казенного учреждения «Учетно-регистрационный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центр Владивостока»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 750,08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72 541,95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360" w:lineRule="auto"/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99,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  <w:highlight w:val="white"/>
                <w:lang w:eastAsia="ru-RU"/>
              </w:rPr>
              <w:t xml:space="preserve">71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6"/>
        </w:trPr>
        <w:tc>
          <w:tcPr>
            <w:shd w:val="clear" w:color="ffffff" w:fill="ffffff"/>
            <w:tcW w:w="5034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3.3.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«Обеспечение твердым топливом населения города Владивостока, проживающего в домах с печным отоплением»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contextualSpacing/>
              <w:ind w:left="0" w:right="-1" w:firstLine="0"/>
              <w:jc w:val="left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Реализовано населению 2777,8 м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дров, угля 1421,4 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15 181,38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white"/>
                <w:lang w:eastAsia="ru-RU"/>
              </w:rPr>
              <w:t xml:space="preserve"> 156,41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100" w:type="dxa"/>
            <w:vAlign w:val="center"/>
            <w:vMerge w:val="restart"/>
            <w:textDirection w:val="lrTb"/>
            <w:noWrap w:val="false"/>
          </w:tcPr>
          <w:p>
            <w:pPr>
              <w:ind w:left="0" w:right="-1" w:firstLine="0"/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99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,84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</w:tr>
    </w:tbl>
    <w:p>
      <w:pPr>
        <w:rPr>
          <w:strike/>
          <w:szCs w:val="28"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szCs w:val="28"/>
          <w:highlight w:val="none"/>
        </w:rPr>
      </w:pPr>
      <w:r/>
      <w:bookmarkStart w:id="23" w:name="_Toc22"/>
      <w:r>
        <w:rPr>
          <w:strike w:val="0"/>
          <w:szCs w:val="28"/>
          <w:highlight w:val="none"/>
        </w:rPr>
        <w:t xml:space="preserve">4.1.12. </w:t>
      </w:r>
      <w:r>
        <w:rPr>
          <w:strike w:val="0"/>
          <w:szCs w:val="28"/>
          <w:highlight w:val="none"/>
        </w:rPr>
        <w:t xml:space="preserve">Муниципальная программа «Энергосбережение и повышение энергетической эффективности»</w:t>
      </w:r>
      <w:r>
        <w:rPr>
          <w:strike w:val="0"/>
          <w:szCs w:val="28"/>
          <w:highlight w:val="none"/>
        </w:rPr>
      </w:r>
      <w:bookmarkEnd w:id="23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contextualSpacing/>
        <w:ind w:firstLine="0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right="-144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Муниципальная программа «Энергосбережение и повышение энергетической эффективности» утверждена постановлением администрации города Владивостока от 20.09.2023 № 2413.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ind w:right="-144"/>
        <w:spacing w:line="360" w:lineRule="auto"/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Ответственный исполнитель муниципальной программы - управление по вопросам топливно-энергетического комплекса администрации города Владивостока. 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spacing w:line="360" w:lineRule="auto"/>
        <w:tabs>
          <w:tab w:val="left" w:pos="851" w:leader="none"/>
        </w:tabs>
        <w:rPr>
          <w:color w:val="000000"/>
        </w:rPr>
      </w:pPr>
      <w:r>
        <w:rPr>
          <w:color w:val="000000"/>
        </w:rPr>
        <w:t xml:space="preserve">Объем средств бюджета Владивостокского городского округа на финансирование мероприятий муниципальной программы в 2025 году представлен в следующей таблице:</w:t>
      </w:r>
      <w:r>
        <w:rPr>
          <w:color w:val="000000"/>
        </w:rPr>
      </w:r>
      <w:r>
        <w:rPr>
          <w:color w:val="000000"/>
        </w:rPr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70"/>
        <w:gridCol w:w="2092"/>
        <w:gridCol w:w="1526"/>
        <w:gridCol w:w="1092"/>
      </w:tblGrid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0" w:type="dxa"/>
            <w:vAlign w:val="center"/>
            <w:vMerge w:val="restart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Источник финансирования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092" w:type="dxa"/>
            <w:vAlign w:val="center"/>
            <w:vMerge w:val="restart"/>
            <w:textDirection w:val="lrTb"/>
            <w:noWrap w:val="false"/>
          </w:tcPr>
          <w:p>
            <w:pPr>
              <w:ind w:left="-142" w:right="-141" w:firstLine="0"/>
              <w:jc w:val="center"/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Уточненный план</w:t>
            </w:r>
            <w:r>
              <w:rPr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bCs/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17" w:type="dxa"/>
            <w:vAlign w:val="center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0" w:type="dxa"/>
            <w:vAlign w:val="center"/>
            <w:vMerge w:val="continue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vMerge w:val="continue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%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0" w:type="dxa"/>
            <w:vAlign w:val="center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</w:t>
            </w:r>
            <w:r>
              <w:rPr>
                <w:sz w:val="24"/>
              </w:rPr>
              <w:t xml:space="preserve">сего</w:t>
            </w:r>
            <w:r>
              <w:rPr>
                <w:sz w:val="24"/>
              </w:rPr>
              <w:t xml:space="preserve"> расходов</w:t>
            </w:r>
            <w:r>
              <w:rPr>
                <w:sz w:val="24"/>
              </w:rPr>
              <w:t xml:space="preserve">, в том числе за счет: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color w:val="000000" w:themeColor="text1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532 338,1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5</w:t>
            </w:r>
            <w:r>
              <w:rPr>
                <w:color w:val="000000" w:themeColor="text1"/>
                <w:sz w:val="24"/>
                <w:highlight w:val="white"/>
              </w:rPr>
            </w:r>
            <w:r>
              <w:rPr>
                <w:color w:val="000000" w:themeColor="text1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color w:val="000000" w:themeColor="text1"/>
                <w:sz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360 611,09</w:t>
            </w:r>
            <w:r>
              <w:rPr>
                <w:color w:val="000000" w:themeColor="text1"/>
                <w:sz w:val="24"/>
                <w:highlight w:val="white"/>
              </w:rPr>
            </w:r>
            <w:r>
              <w:rPr>
                <w:color w:val="000000" w:themeColor="text1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67,74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0" w:type="dxa"/>
            <w:vAlign w:val="center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налоговых и неналоговых доходов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96 694,23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89 576,18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92,64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0" w:type="dxa"/>
            <w:vAlign w:val="center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межбюджетных  трансфертов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379 290,95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214 681,94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highlight w:val="none"/>
              </w:rPr>
              <w:t xml:space="preserve">56,60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7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ных дотаций на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 края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83" w:lineRule="atLeast"/>
              <w:rPr>
                <w:sz w:val="24"/>
              </w:rPr>
            </w:pPr>
            <w:r>
              <w:rPr>
                <w:sz w:val="24"/>
              </w:rPr>
              <w:t xml:space="preserve">56 352,97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6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83" w:lineRule="atLeas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56 352,97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2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83" w:lineRule="atLeas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-144"/>
        <w:rPr>
          <w:strike w:val="0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contextualSpacing/>
        <w:ind w:right="-144"/>
        <w:rPr>
          <w:strike w:val="0"/>
          <w:color w:val="000000"/>
          <w:sz w:val="24"/>
          <w:szCs w:val="24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муниципальной программы в 2025 году представлена в таблице:</w:t>
      </w:r>
      <w:r>
        <w:rPr>
          <w:strike w:val="0"/>
          <w:color w:val="000000"/>
          <w:sz w:val="24"/>
          <w:highlight w:val="none"/>
        </w:rPr>
        <w:t xml:space="preserve"> </w:t>
      </w:r>
      <w:r>
        <w:rPr>
          <w:strike w:val="0"/>
          <w:color w:val="000000"/>
          <w:sz w:val="24"/>
          <w:szCs w:val="24"/>
          <w:highlight w:val="none"/>
        </w:rPr>
      </w:r>
      <w:r>
        <w:rPr>
          <w:strike w:val="0"/>
          <w:color w:val="000000"/>
          <w:sz w:val="24"/>
          <w:szCs w:val="24"/>
          <w:highlight w:val="none"/>
        </w:rPr>
      </w:r>
    </w:p>
    <w:tbl>
      <w:tblPr>
        <w:tblW w:w="978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4"/>
        <w:gridCol w:w="1985"/>
        <w:gridCol w:w="1559"/>
        <w:gridCol w:w="1134"/>
      </w:tblGrid>
      <w:tr>
        <w:tblPrEx/>
        <w:trPr>
          <w:trHeight w:val="0"/>
          <w:tblHeader/>
        </w:trPr>
        <w:tc>
          <w:tcPr>
            <w:tcW w:w="510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bCs/>
                <w:sz w:val="24"/>
                <w:highlight w:val="none"/>
              </w:rPr>
            </w:r>
            <w:r>
              <w:rPr>
                <w:bCs/>
                <w:sz w:val="24"/>
                <w:highlight w:val="none"/>
              </w:rPr>
            </w:r>
          </w:p>
        </w:tc>
        <w:tc>
          <w:tcPr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ind w:left="-142" w:right="-141" w:firstLine="0"/>
              <w:jc w:val="center"/>
              <w:spacing w:line="240" w:lineRule="auto"/>
              <w:rPr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Уточненный план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, 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  <w:br/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тыс. рублей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Исполнено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0"/>
          <w:tblHeader/>
        </w:trPr>
        <w:tc>
          <w:tcPr>
            <w:tcW w:w="510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тыс. рублей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34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%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72"/>
        </w:trPr>
        <w:tc>
          <w:tcPr>
            <w:tcW w:w="5104" w:type="dxa"/>
            <w:vAlign w:val="center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Расходы по муниципальной программе всего, в том числе за счет: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532 338,</w:t>
            </w: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  <w:t xml:space="preserve">5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360 611,09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67,74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cantSplit/>
          <w:trHeight w:val="387"/>
        </w:trPr>
        <w:tc>
          <w:tcPr>
            <w:shd w:val="clear" w:color="ffffff" w:fill="ffffff"/>
            <w:tcW w:w="5104" w:type="dxa"/>
            <w:vAlign w:val="center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1.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 Подпрограмма «Энергосбережение и повышение энергетической эффективности во Владивостокском городском округе» </w:t>
            </w:r>
            <w:r>
              <w:rPr>
                <w:sz w:val="24"/>
                <w:szCs w:val="24"/>
                <w:highlight w:val="none"/>
              </w:rPr>
              <w:t xml:space="preserve">в том числе: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33</w:t>
            </w:r>
            <w:r>
              <w:rPr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900,00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33 248,70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98,08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>
          <w:cantSplit/>
          <w:trHeight w:val="387"/>
        </w:trPr>
        <w:tc>
          <w:tcPr>
            <w:shd w:val="clear" w:color="ffffff" w:fill="ffffff"/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«По эксплуатации зданий, строений, сооружений, систем инженерно-технического обеспечения и разработке проектно-сметной документации»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881,58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772,78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87,66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shd w:val="clear" w:color="ffffff" w:fill="ffffff"/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 области оснащения зданий, строений энергосберегающими системами, элементами и ограждающими конструкциями»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1 018,42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475,92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46,73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shd w:val="clear" w:color="ffffff" w:fill="ffffff"/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субсидии из бюджета Владивостокского городского округа на возмещение недополученных доходов в связи с выполнением работ, оказанием услуг муниципальными предприятиями города Владивостока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32 000,00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32 000,00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530"/>
        </w:trPr>
        <w:tc>
          <w:tcPr>
            <w:gridSpan w:val="4"/>
            <w:tcW w:w="9782" w:type="dxa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Средства в рамках мероприятий данной подпрограммы направлены </w:t>
            </w:r>
            <w:r>
              <w:rPr>
                <w:i/>
                <w:sz w:val="24"/>
                <w:szCs w:val="24"/>
              </w:rPr>
              <w:t xml:space="preserve">на</w:t>
            </w:r>
            <w:r>
              <w:rPr>
                <w:i/>
                <w:sz w:val="24"/>
                <w:szCs w:val="24"/>
              </w:rPr>
              <w:t xml:space="preserve">: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поставку 44 приборов учета энергоресурсов; 1650 шт. ламп энергосбережения;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firstLine="0"/>
              <w:jc w:val="left"/>
              <w:spacing w:line="240" w:lineRule="auto"/>
              <w:rPr>
                <w:i/>
                <w:sz w:val="24"/>
                <w:highlight w:val="none"/>
              </w:rPr>
            </w:pPr>
            <w:r>
              <w:rPr>
                <w:i/>
                <w:sz w:val="24"/>
                <w:szCs w:val="24"/>
              </w:rPr>
              <w:t xml:space="preserve">- разработку рабочей и проектной документации на ремонт нежилого помещения (замена прибора учета тепловой энергии и те</w:t>
            </w:r>
            <w:r>
              <w:rPr>
                <w:i/>
                <w:sz w:val="24"/>
                <w:szCs w:val="24"/>
                <w:highlight w:val="none"/>
              </w:rPr>
              <w:t xml:space="preserve">плоносителя в тепловом узле) по адресам: г. Владивосток, Океанский проспект, 20 и </w:t>
            </w:r>
            <w:r>
              <w:rPr>
                <w:i/>
                <w:sz w:val="24"/>
                <w:szCs w:val="24"/>
                <w:highlight w:val="none"/>
              </w:rPr>
              <w:t xml:space="preserve">Океанский проспект, 7;</w:t>
            </w:r>
            <w:r>
              <w:rPr>
                <w:i/>
                <w:sz w:val="24"/>
                <w:highlight w:val="none"/>
              </w:rPr>
            </w:r>
            <w:r>
              <w:rPr>
                <w:i/>
                <w:sz w:val="24"/>
                <w:highlight w:val="none"/>
              </w:rPr>
            </w:r>
          </w:p>
          <w:p>
            <w:pPr>
              <w:ind w:left="142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поверку приборов учета по адресам: г. Владивосток, ул. Корнилова, 15, Океанский проспект, 20 (маяк);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tabs>
                <w:tab w:val="left" w:pos="156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совершенствование схем электроснабжения с использованием максимального допустимого сечения провода в электрических сетях напряжением 0,4-10 </w:t>
            </w:r>
            <w:r>
              <w:rPr>
                <w:i/>
                <w:sz w:val="24"/>
                <w:szCs w:val="24"/>
              </w:rPr>
              <w:t xml:space="preserve">кВ</w:t>
            </w:r>
            <w:r>
              <w:rPr>
                <w:i/>
                <w:sz w:val="24"/>
                <w:szCs w:val="24"/>
              </w:rPr>
              <w:t xml:space="preserve"> (проведена замена проводов в количестве 2,6 км;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tabs>
                <w:tab w:val="left" w:pos="156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 внедрение трансформаторов с уменьшенными потерями холостого хода в количестве </w:t>
              <w:br/>
              <w:t xml:space="preserve">4 шт.;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tabs>
                <w:tab w:val="left" w:pos="142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применение комплектных трансформаторных подстанций малой мощности 6/0,4 </w:t>
            </w:r>
            <w:r>
              <w:rPr>
                <w:i/>
                <w:sz w:val="24"/>
                <w:szCs w:val="24"/>
              </w:rPr>
              <w:t xml:space="preserve">кВ</w:t>
            </w:r>
            <w:r>
              <w:rPr>
                <w:i/>
                <w:sz w:val="24"/>
                <w:szCs w:val="24"/>
              </w:rPr>
              <w:t xml:space="preserve"> для сокращения протяжённости сетей 0,4 </w:t>
            </w:r>
            <w:r>
              <w:rPr>
                <w:i/>
                <w:sz w:val="24"/>
                <w:szCs w:val="24"/>
              </w:rPr>
              <w:t xml:space="preserve">кВ</w:t>
            </w:r>
            <w:r>
              <w:rPr>
                <w:i/>
                <w:sz w:val="24"/>
                <w:szCs w:val="24"/>
              </w:rPr>
              <w:t xml:space="preserve"> в количестве 3 шт.;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строительство ВЛ-0,4 </w:t>
            </w:r>
            <w:r>
              <w:rPr>
                <w:i/>
                <w:sz w:val="24"/>
                <w:szCs w:val="24"/>
              </w:rPr>
              <w:t xml:space="preserve">кВ</w:t>
            </w:r>
            <w:r>
              <w:rPr>
                <w:i/>
                <w:sz w:val="24"/>
                <w:szCs w:val="24"/>
              </w:rPr>
              <w:t xml:space="preserve"> в трёхфазном исполнении (построено 0,963 км воздушных линий);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144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установку светодиодных светильников для уменьшения потребления электроэнергии в количестве 50 шт.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firstLine="0"/>
              <w:spacing w:line="240" w:lineRule="auto"/>
              <w:tabs>
                <w:tab w:val="left" w:pos="9638" w:leader="none"/>
                <w:tab w:val="left" w:pos="9780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Отклонение от планируемых значений связано с экономией, полученной по результатам  закупочных процедур в рамках 44-ФЗ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tcW w:w="5104" w:type="dxa"/>
            <w:vAlign w:val="center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Подпрограмма «Строительство, реконструкция, капитальный ремонт и модернизация объектов коммунального назначения и газоснабжения»,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498 438,1</w:t>
            </w:r>
            <w:r>
              <w:rPr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142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327 362,39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65,68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2.1. </w:t>
            </w: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«Создание и развитие объектов газоснабжения во Владивостокском городском округе»</w:t>
            </w:r>
            <w:r>
              <w:rPr>
                <w:sz w:val="24"/>
              </w:rPr>
              <w:t xml:space="preserve">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163 618,22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49 901,76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30,50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gridSpan w:val="4"/>
            <w:tcW w:w="9782" w:type="dxa"/>
            <w:textDirection w:val="lrTb"/>
            <w:noWrap w:val="false"/>
          </w:tcPr>
          <w:p>
            <w:pPr>
              <w:ind w:left="142" w:right="0" w:firstLine="0"/>
              <w:jc w:val="left"/>
              <w:spacing w:line="240" w:lineRule="auto"/>
              <w:tabs>
                <w:tab w:val="left" w:pos="9638" w:leader="none"/>
                <w:tab w:val="left" w:pos="9780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Средства направлены на выполнение следующих </w:t>
            </w:r>
            <w:r>
              <w:rPr>
                <w:i/>
                <w:sz w:val="24"/>
                <w:szCs w:val="24"/>
              </w:rPr>
              <w:t xml:space="preserve">мероприятий</w:t>
            </w:r>
            <w:r>
              <w:rPr>
                <w:i/>
                <w:sz w:val="24"/>
                <w:szCs w:val="24"/>
              </w:rPr>
              <w:t xml:space="preserve">: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567"/>
              <w:jc w:val="left"/>
              <w:spacing w:line="240" w:lineRule="auto"/>
              <w:tabs>
                <w:tab w:val="left" w:pos="9638" w:leader="none"/>
                <w:tab w:val="left" w:pos="9780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 xml:space="preserve">по строительству объект</w:t>
            </w:r>
            <w:r>
              <w:rPr>
                <w:i/>
                <w:sz w:val="24"/>
                <w:szCs w:val="24"/>
              </w:rPr>
              <w:t xml:space="preserve">ов</w:t>
            </w:r>
            <w:r>
              <w:rPr>
                <w:i/>
                <w:sz w:val="24"/>
                <w:szCs w:val="24"/>
              </w:rPr>
              <w:t xml:space="preserve">: «Распределительный газопровод до муниципальной котельной № 79, расположенной по адресу: г. Влади</w:t>
            </w:r>
            <w:r>
              <w:rPr>
                <w:i/>
                <w:sz w:val="24"/>
                <w:szCs w:val="24"/>
              </w:rPr>
              <w:t xml:space="preserve">восток, ул. Александровича, 48»; «</w:t>
            </w:r>
            <w:r>
              <w:rPr>
                <w:i/>
                <w:sz w:val="24"/>
                <w:szCs w:val="24"/>
              </w:rPr>
              <w:t xml:space="preserve">Распределительный газопровод от ГРП «Пригород-1» для газоснабжения муниципальной котельной № 61, расположенной по адресу: г. Владивосток, ул. 2-я </w:t>
            </w:r>
            <w:r>
              <w:rPr>
                <w:i/>
                <w:sz w:val="24"/>
                <w:szCs w:val="24"/>
              </w:rPr>
              <w:t xml:space="preserve">Шоссейная</w:t>
            </w:r>
            <w:r>
              <w:rPr>
                <w:i/>
                <w:sz w:val="24"/>
                <w:szCs w:val="24"/>
              </w:rPr>
              <w:t xml:space="preserve">, </w:t>
              <w:br/>
              <w:t xml:space="preserve">в районе д.1а. 1-й этап строительства»</w:t>
            </w:r>
            <w:r>
              <w:rPr>
                <w:i/>
                <w:sz w:val="24"/>
                <w:szCs w:val="24"/>
              </w:rPr>
              <w:t xml:space="preserve">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567"/>
              <w:jc w:val="left"/>
              <w:spacing w:line="240" w:lineRule="auto"/>
              <w:tabs>
                <w:tab w:val="left" w:pos="9638" w:leader="none"/>
                <w:tab w:val="left" w:pos="9780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 xml:space="preserve">по осуществлению авторского надзора по объекту «Распределительный газопровод от ГРП «Пригород-1» для газоснабжения муниципальной котельной № 61, расположенной по адресу: г. Владивосток, ул. 2-я </w:t>
            </w:r>
            <w:r>
              <w:rPr>
                <w:i/>
                <w:sz w:val="24"/>
                <w:szCs w:val="24"/>
              </w:rPr>
              <w:t xml:space="preserve">Шоссейная</w:t>
            </w:r>
            <w:r>
              <w:rPr>
                <w:i/>
                <w:sz w:val="24"/>
                <w:szCs w:val="24"/>
              </w:rPr>
              <w:t xml:space="preserve">, в районе д.1а»;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567"/>
              <w:jc w:val="left"/>
              <w:spacing w:line="240" w:lineRule="auto"/>
              <w:tabs>
                <w:tab w:val="left" w:pos="9638" w:leader="none"/>
                <w:tab w:val="left" w:pos="9780" w:leader="none"/>
              </w:tabs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по о</w:t>
            </w:r>
            <w:r>
              <w:rPr>
                <w:i/>
                <w:sz w:val="24"/>
                <w:szCs w:val="24"/>
              </w:rPr>
              <w:t xml:space="preserve">казани</w:t>
            </w:r>
            <w:r>
              <w:rPr>
                <w:i/>
                <w:sz w:val="24"/>
                <w:szCs w:val="24"/>
              </w:rPr>
              <w:t xml:space="preserve">ю</w:t>
            </w:r>
            <w:r>
              <w:rPr>
                <w:i/>
                <w:sz w:val="24"/>
                <w:szCs w:val="24"/>
              </w:rPr>
              <w:t xml:space="preserve"> услуг по осуществлению строительного контроля по объекту «Распределительный газопровод от ГРП «Пригород-1» для газоснабжения муниципальной котельной № 61, расположенной по адресу: г. Владивосток, ул</w:t>
            </w:r>
            <w:r>
              <w:rPr>
                <w:i/>
                <w:sz w:val="24"/>
                <w:szCs w:val="24"/>
              </w:rPr>
              <w:t xml:space="preserve">. 2-я </w:t>
            </w:r>
            <w:r>
              <w:rPr>
                <w:i/>
                <w:sz w:val="24"/>
                <w:szCs w:val="24"/>
              </w:rPr>
              <w:t xml:space="preserve">Шоссейная</w:t>
            </w:r>
            <w:r>
              <w:rPr>
                <w:i/>
                <w:sz w:val="24"/>
                <w:szCs w:val="24"/>
              </w:rPr>
              <w:t xml:space="preserve">, в районе д.1а</w:t>
            </w:r>
            <w:r>
              <w:rPr>
                <w:i/>
                <w:sz w:val="24"/>
                <w:szCs w:val="24"/>
              </w:rPr>
              <w:t xml:space="preserve">».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tabs>
                <w:tab w:val="left" w:pos="9638" w:leader="none"/>
                <w:tab w:val="left" w:pos="9780" w:leader="none"/>
              </w:tabs>
              <w:rPr>
                <w:i/>
                <w:color w:val="0f1115"/>
                <w:sz w:val="24"/>
                <w:szCs w:val="24"/>
              </w:rPr>
            </w:pPr>
            <w:r>
              <w:rPr>
                <w:i/>
                <w:color w:val="0f1115"/>
                <w:sz w:val="24"/>
                <w:szCs w:val="24"/>
              </w:rPr>
              <w:t xml:space="preserve">Общая сумма неосвоенных средств составляет 113</w:t>
            </w:r>
            <w:r>
              <w:rPr>
                <w:i/>
                <w:color w:val="0f1115"/>
                <w:sz w:val="24"/>
                <w:szCs w:val="24"/>
              </w:rPr>
              <w:t xml:space="preserve"> 716,46 тыс. </w:t>
            </w:r>
            <w:r>
              <w:rPr>
                <w:i/>
                <w:color w:val="0f1115"/>
                <w:sz w:val="24"/>
                <w:szCs w:val="24"/>
              </w:rPr>
              <w:t xml:space="preserve">руб., из которых</w:t>
            </w:r>
            <w:r>
              <w:rPr>
                <w:i/>
                <w:color w:val="0f1115"/>
                <w:sz w:val="24"/>
                <w:szCs w:val="24"/>
              </w:rPr>
              <w:t xml:space="preserve"> 113 609,01 тыс</w:t>
            </w:r>
            <w:r>
              <w:rPr>
                <w:i/>
                <w:color w:val="0f1115"/>
                <w:sz w:val="24"/>
                <w:szCs w:val="24"/>
              </w:rPr>
              <w:t xml:space="preserve">. руб. - не</w:t>
            </w:r>
            <w:r>
              <w:rPr>
                <w:i/>
                <w:color w:val="0f1115"/>
                <w:sz w:val="24"/>
                <w:szCs w:val="24"/>
              </w:rPr>
              <w:t xml:space="preserve">поступление межбюджетного трансферта от Министерства энергетики и газоснабжения Приморского края, </w:t>
            </w:r>
            <w:r>
              <w:rPr>
                <w:i/>
                <w:color w:val="0f1115"/>
                <w:sz w:val="24"/>
                <w:szCs w:val="24"/>
              </w:rPr>
              <w:t xml:space="preserve">107,45 </w:t>
            </w:r>
            <w:r>
              <w:rPr>
                <w:i/>
                <w:color w:val="0f1115"/>
                <w:sz w:val="24"/>
                <w:szCs w:val="24"/>
              </w:rPr>
              <w:t xml:space="preserve">тыс. руб. - экономия, сложившаяся по результат</w:t>
            </w:r>
            <w:r>
              <w:rPr>
                <w:i/>
                <w:color w:val="0f1115"/>
                <w:sz w:val="24"/>
                <w:szCs w:val="24"/>
              </w:rPr>
              <w:t xml:space="preserve">ам выполнения работ</w:t>
            </w:r>
            <w:r>
              <w:rPr>
                <w:i/>
                <w:color w:val="0f1115"/>
                <w:sz w:val="24"/>
                <w:szCs w:val="24"/>
              </w:rPr>
            </w:r>
            <w:r>
              <w:rPr>
                <w:i/>
                <w:color w:val="0f1115"/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2.2</w:t>
            </w:r>
            <w:r>
              <w:rPr>
                <w:sz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  <w:t xml:space="preserve"> Комплекс процессных мероприятий «Строительство, реконструкция, капитальный ремонт и модернизация объектов коммунального хозяйства» </w:t>
            </w:r>
            <w:r>
              <w:rPr>
                <w:sz w:val="24"/>
              </w:rPr>
              <w:t xml:space="preserve">предусмотрено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71 459,25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69 262,88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96,93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gridSpan w:val="4"/>
            <w:tcW w:w="9782" w:type="dxa"/>
            <w:textDirection w:val="lrTb"/>
            <w:noWrap w:val="false"/>
          </w:tcPr>
          <w:p>
            <w:pPr>
              <w:pStyle w:val="964"/>
              <w:ind w:left="142" w:right="0" w:firstLine="0"/>
              <w:jc w:val="left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Средства н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аправлены на выполнение работ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: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pStyle w:val="964"/>
              <w:ind w:left="142" w:right="0" w:firstLine="567"/>
              <w:jc w:val="left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- р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азработк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проектно-сметной документации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на строительство наружных сетей канализации с устройством модульных насосных станций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к жилым домам № 7, 9, 11 по пер. Шевченко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(6 888,88 тыс. руб.);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троительству водопроводной сети (объекта вспомогательного назначения) к жилым домам по ул. Канал №№25, 27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(300,00 тыс. руб.);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pStyle w:val="964"/>
              <w:ind w:left="142" w:right="0" w:firstLine="567"/>
              <w:jc w:val="left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- р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азработк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проектно-сметной документации на капитальный ремонт инженерных сетей на территории Владивостокского городского округа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(58 385,84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тыс. руб.)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pStyle w:val="964"/>
              <w:ind w:left="142" w:right="0" w:firstLine="567"/>
              <w:jc w:val="left"/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- строительств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КЛ-0,4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кВ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в районе г.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Владивостока, о.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Русский, б.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Аякс, ул. Дальнего Востока (объект: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Павильон Министерства спорта РФ) 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688,16 тыс. руб.).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Неполное освоение денежных средств – за фактически выполненные работы в рамках </w:t>
            </w:r>
            <w:r>
              <w:rPr>
                <w:i/>
                <w:sz w:val="24"/>
                <w:szCs w:val="24"/>
              </w:rPr>
              <w:t xml:space="preserve">проведения </w:t>
            </w:r>
            <w:r>
              <w:rPr>
                <w:i/>
                <w:sz w:val="24"/>
                <w:szCs w:val="24"/>
              </w:rPr>
              <w:t xml:space="preserve">строительств</w:t>
            </w:r>
            <w:r>
              <w:rPr>
                <w:i/>
                <w:sz w:val="24"/>
                <w:szCs w:val="24"/>
              </w:rPr>
              <w:t xml:space="preserve">а</w:t>
            </w:r>
            <w:r>
              <w:rPr>
                <w:i/>
                <w:sz w:val="24"/>
                <w:szCs w:val="24"/>
              </w:rPr>
              <w:t xml:space="preserve"> КЛ-0,4 </w:t>
            </w:r>
            <w:r>
              <w:rPr>
                <w:i/>
                <w:sz w:val="24"/>
                <w:szCs w:val="24"/>
              </w:rPr>
              <w:t xml:space="preserve">кВ</w:t>
            </w:r>
            <w:r>
              <w:rPr>
                <w:i/>
                <w:sz w:val="24"/>
                <w:szCs w:val="24"/>
              </w:rPr>
              <w:t xml:space="preserve"> в районе г. Владивостока, о. Русский, </w:t>
            </w:r>
            <w:r>
              <w:rPr>
                <w:i/>
                <w:sz w:val="24"/>
                <w:szCs w:val="24"/>
              </w:rPr>
              <w:t xml:space="preserve">б</w:t>
            </w:r>
            <w:r>
              <w:rPr>
                <w:i/>
                <w:sz w:val="24"/>
                <w:szCs w:val="24"/>
              </w:rPr>
              <w:t xml:space="preserve">. Аякс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2.3. </w:t>
            </w: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«Строительство, реконстр</w:t>
            </w:r>
            <w:r>
              <w:rPr>
                <w:color w:val="000000"/>
                <w:sz w:val="24"/>
                <w:szCs w:val="24"/>
              </w:rPr>
              <w:t xml:space="preserve">укция, капитальный ремонт и модернизация объектов муниципальной собственности коммунального назначения находящиеся на праве хозяйственного ведения у Муниципального унитарного предприятия города Владивостока «Владивостокское предприятие электрических сетей»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widowControl w:val="off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11 227,</w:t>
            </w:r>
            <w:r>
              <w:rPr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widowControl w:val="off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11 227,46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100</w:t>
            </w:r>
            <w:r>
              <w:rPr>
                <w:sz w:val="24"/>
                <w:szCs w:val="24"/>
              </w:rPr>
              <w:t xml:space="preserve">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cantSplit/>
          <w:trHeight w:val="0"/>
        </w:trPr>
        <w:tc>
          <w:tcPr>
            <w:gridSpan w:val="4"/>
            <w:tcW w:w="9782" w:type="dxa"/>
            <w:textDirection w:val="lrTb"/>
            <w:noWrap w:val="false"/>
          </w:tcPr>
          <w:p>
            <w:pPr>
              <w:ind w:left="142" w:right="0" w:firstLine="0"/>
              <w:spacing w:line="240" w:lineRule="auto"/>
              <w:rPr>
                <w:i/>
                <w:sz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П</w:t>
            </w:r>
            <w:r>
              <w:rPr>
                <w:i/>
                <w:color w:val="000000"/>
                <w:sz w:val="24"/>
                <w:szCs w:val="24"/>
              </w:rPr>
              <w:t xml:space="preserve">риобретение в лизинг специализированной техники (ДЭС</w:t>
            </w:r>
            <w:r>
              <w:rPr>
                <w:i/>
                <w:color w:val="000000"/>
                <w:sz w:val="24"/>
                <w:szCs w:val="24"/>
              </w:rPr>
              <w:t xml:space="preserve">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tcW w:w="5104" w:type="dxa"/>
            <w:textDirection w:val="lrTb"/>
            <w:noWrap w:val="false"/>
          </w:tcPr>
          <w:p>
            <w:pPr>
              <w:ind w:left="34"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2.4.</w:t>
            </w:r>
            <w:r>
              <w:rPr>
                <w:color w:val="000000"/>
                <w:sz w:val="24"/>
                <w:szCs w:val="24"/>
              </w:rPr>
              <w:t xml:space="preserve"> Комплекс процессных мероприятий «Строительство, реконструкция, капитальный ремонт и модернизация объектов коммунального хозяйства»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252 133,22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196 970,29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34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78,12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87"/>
        </w:trPr>
        <w:tc>
          <w:tcPr>
            <w:gridSpan w:val="4"/>
            <w:tcW w:w="9782" w:type="dxa"/>
            <w:textDirection w:val="lrTb"/>
            <w:noWrap w:val="false"/>
          </w:tcPr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t xml:space="preserve">Средства направлены на выполнение следующих мероприятий: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по р</w:t>
            </w:r>
            <w:r>
              <w:rPr>
                <w:i/>
                <w:sz w:val="24"/>
                <w:szCs w:val="24"/>
              </w:rPr>
              <w:t xml:space="preserve">азработк</w:t>
            </w:r>
            <w:r>
              <w:rPr>
                <w:i/>
                <w:sz w:val="24"/>
                <w:szCs w:val="24"/>
              </w:rPr>
              <w:t xml:space="preserve">е</w:t>
            </w:r>
            <w:r>
              <w:rPr>
                <w:i/>
                <w:sz w:val="24"/>
                <w:szCs w:val="24"/>
              </w:rPr>
              <w:t xml:space="preserve"> проектно-сметной документации и проведение работ по капитальному ремонту инженерных сетей на территории Владивостокского городского округа </w:t>
            </w:r>
            <w:r>
              <w:rPr>
                <w:i/>
                <w:sz w:val="24"/>
                <w:szCs w:val="24"/>
              </w:rPr>
              <w:t xml:space="preserve">(176 701,12  тыс. руб.);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 xml:space="preserve">по актуализации Схемы теплоснабжения Владивостокского городского округа</w:t>
            </w:r>
            <w:r>
              <w:rPr>
                <w:i/>
                <w:sz w:val="24"/>
                <w:szCs w:val="24"/>
              </w:rPr>
              <w:t xml:space="preserve"> (8 8</w:t>
            </w:r>
            <w:r>
              <w:rPr>
                <w:i/>
                <w:sz w:val="24"/>
                <w:szCs w:val="24"/>
              </w:rPr>
              <w:t xml:space="preserve">80,000 тыс. руб.);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по к</w:t>
            </w:r>
            <w:r>
              <w:rPr>
                <w:i/>
                <w:sz w:val="24"/>
                <w:szCs w:val="24"/>
              </w:rPr>
              <w:t xml:space="preserve">апитальн</w:t>
            </w:r>
            <w:r>
              <w:rPr>
                <w:i/>
                <w:sz w:val="24"/>
                <w:szCs w:val="24"/>
              </w:rPr>
              <w:t xml:space="preserve">ому</w:t>
            </w:r>
            <w:r>
              <w:rPr>
                <w:i/>
                <w:sz w:val="24"/>
                <w:szCs w:val="24"/>
              </w:rPr>
              <w:t xml:space="preserve"> ремонт</w:t>
            </w:r>
            <w:r>
              <w:rPr>
                <w:i/>
                <w:sz w:val="24"/>
                <w:szCs w:val="24"/>
              </w:rPr>
              <w:t xml:space="preserve">у</w:t>
            </w:r>
            <w:r>
              <w:rPr>
                <w:i/>
                <w:sz w:val="24"/>
                <w:szCs w:val="24"/>
              </w:rPr>
              <w:t xml:space="preserve"> строительной части трансформаторных подстанций, расположенных на о.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Русский</w:t>
            </w:r>
            <w:r>
              <w:rPr>
                <w:i/>
                <w:sz w:val="24"/>
                <w:szCs w:val="24"/>
              </w:rPr>
              <w:t xml:space="preserve"> (5 513,75 тыс. руб.);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плата</w:t>
            </w:r>
            <w:r>
              <w:rPr>
                <w:i/>
                <w:sz w:val="24"/>
                <w:szCs w:val="24"/>
              </w:rPr>
              <w:t xml:space="preserve"> за публичный сервитут</w:t>
            </w:r>
            <w:r>
              <w:rPr>
                <w:i/>
                <w:sz w:val="24"/>
                <w:szCs w:val="24"/>
              </w:rPr>
              <w:t xml:space="preserve"> (2,8 тыс. руб.);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ind w:left="142" w:right="0"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  <w:szCs w:val="24"/>
              </w:rPr>
              <w:t xml:space="preserve">- в</w:t>
            </w:r>
            <w:r>
              <w:rPr>
                <w:i/>
                <w:sz w:val="24"/>
                <w:szCs w:val="24"/>
              </w:rPr>
              <w:t xml:space="preserve">озмещени</w:t>
            </w:r>
            <w:r>
              <w:rPr>
                <w:i/>
                <w:sz w:val="24"/>
                <w:szCs w:val="24"/>
              </w:rPr>
              <w:t xml:space="preserve">е</w:t>
            </w:r>
            <w:r>
              <w:rPr>
                <w:i/>
                <w:sz w:val="24"/>
                <w:szCs w:val="24"/>
              </w:rPr>
              <w:t xml:space="preserve"> затрат предприятиям коммунального комплекса в связи с в</w:t>
            </w:r>
            <w:r>
              <w:rPr>
                <w:i/>
                <w:sz w:val="24"/>
                <w:szCs w:val="24"/>
              </w:rPr>
              <w:t xml:space="preserve">ыполнение работ по капитальному ремонту </w:t>
            </w:r>
            <w:r>
              <w:rPr>
                <w:i/>
                <w:sz w:val="24"/>
                <w:szCs w:val="24"/>
              </w:rPr>
              <w:t xml:space="preserve">объектов коммунальной инфраструктуры, находящихся в муниципальной собственности </w:t>
            </w:r>
            <w:r>
              <w:rPr>
                <w:i/>
                <w:sz w:val="24"/>
                <w:szCs w:val="24"/>
              </w:rPr>
              <w:t xml:space="preserve">(5 872,62 тыс. руб.)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</w:tbl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733"/>
        <w:ind w:firstLine="0"/>
        <w:jc w:val="center"/>
        <w:spacing w:before="0" w:after="0" w:line="240" w:lineRule="auto"/>
        <w:rPr>
          <w:rFonts w:ascii="Times New Roman" w:hAnsi="Times New Roman"/>
          <w:b w:val="0"/>
          <w:i w:val="0"/>
          <w:strike w:val="0"/>
          <w:highlight w:val="none"/>
        </w:rPr>
      </w:pPr>
      <w:r/>
      <w:bookmarkStart w:id="24" w:name="_Toc23"/>
      <w:r>
        <w:rPr>
          <w:rFonts w:ascii="Times New Roman" w:hAnsi="Times New Roman"/>
          <w:b w:val="0"/>
          <w:i w:val="0"/>
          <w:strike w:val="0"/>
          <w:highlight w:val="none"/>
        </w:rPr>
        <w:t xml:space="preserve">4.2. Непрограммные расходы бюджета Владивосток</w:t>
      </w:r>
      <w:r>
        <w:rPr>
          <w:rFonts w:ascii="Times New Roman" w:hAnsi="Times New Roman"/>
          <w:b w:val="0"/>
          <w:i w:val="0"/>
          <w:strike w:val="0"/>
          <w:highlight w:val="none"/>
        </w:rPr>
        <w:t xml:space="preserve">ского городского округа</w:t>
      </w:r>
      <w:r>
        <w:rPr>
          <w:rFonts w:ascii="Times New Roman" w:hAnsi="Times New Roman"/>
          <w:b w:val="0"/>
          <w:i w:val="0"/>
          <w:strike w:val="0"/>
          <w:highlight w:val="none"/>
        </w:rPr>
        <w:t xml:space="preserve"> </w:t>
      </w:r>
      <w:r>
        <w:rPr>
          <w:rFonts w:ascii="Times New Roman" w:hAnsi="Times New Roman"/>
          <w:b w:val="0"/>
          <w:i w:val="0"/>
          <w:strike w:val="0"/>
          <w:highlight w:val="none"/>
        </w:rPr>
        <w:br/>
      </w:r>
      <w:r>
        <w:rPr>
          <w:rFonts w:ascii="Times New Roman" w:hAnsi="Times New Roman"/>
          <w:b w:val="0"/>
          <w:i w:val="0"/>
          <w:strike w:val="0"/>
          <w:highlight w:val="none"/>
        </w:rPr>
        <w:t xml:space="preserve">в разрезе главных распорядителей бюджетных средств</w:t>
      </w:r>
      <w:r>
        <w:rPr>
          <w:rFonts w:ascii="Times New Roman" w:hAnsi="Times New Roman"/>
          <w:b w:val="0"/>
          <w:i w:val="0"/>
          <w:strike w:val="0"/>
          <w:highlight w:val="none"/>
        </w:rPr>
      </w:r>
      <w:bookmarkEnd w:id="24"/>
      <w:r>
        <w:rPr>
          <w:rFonts w:ascii="Times New Roman" w:hAnsi="Times New Roman"/>
          <w:b w:val="0"/>
          <w:i w:val="0"/>
          <w:strike w:val="0"/>
          <w:highlight w:val="none"/>
        </w:rPr>
      </w:r>
      <w:r>
        <w:rPr>
          <w:rFonts w:ascii="Times New Roman" w:hAnsi="Times New Roman"/>
          <w:b w:val="0"/>
          <w:i w:val="0"/>
          <w:strike w:val="0"/>
          <w:highlight w:val="none"/>
        </w:rPr>
      </w:r>
    </w:p>
    <w:p>
      <w:pPr>
        <w:rPr>
          <w:strike w:val="0"/>
          <w:szCs w:val="28"/>
          <w:highlight w:val="none"/>
        </w:rPr>
        <w:outlineLvl w:val="0"/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84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Доля расходов, исполненных по непрограммным направлениям деятельности, в 2025</w:t>
      </w:r>
      <w:r>
        <w:rPr>
          <w:strike w:val="0"/>
          <w:szCs w:val="28"/>
          <w:highlight w:val="none"/>
        </w:rPr>
        <w:t xml:space="preserve"> году составила 1</w:t>
      </w:r>
      <w:r>
        <w:rPr>
          <w:strike w:val="0"/>
          <w:szCs w:val="28"/>
          <w:highlight w:val="none"/>
        </w:rPr>
        <w:t xml:space="preserve">0,91</w:t>
      </w:r>
      <w:r>
        <w:rPr>
          <w:strike w:val="0"/>
          <w:szCs w:val="28"/>
          <w:highlight w:val="none"/>
        </w:rPr>
        <w:t xml:space="preserve">% в общем исполнении расходов бюджета</w:t>
      </w:r>
      <w:r>
        <w:rPr>
          <w:strike w:val="0"/>
          <w:szCs w:val="28"/>
          <w:highlight w:val="none"/>
        </w:rPr>
        <w:t xml:space="preserve"> ВГО</w:t>
      </w:r>
      <w:r>
        <w:rPr>
          <w:strike w:val="0"/>
          <w:szCs w:val="28"/>
          <w:highlight w:val="none"/>
        </w:rPr>
        <w:t xml:space="preserve">. Исполнение расходов составило </w:t>
      </w:r>
      <w:r>
        <w:rPr>
          <w:strike w:val="0"/>
          <w:szCs w:val="28"/>
          <w:highlight w:val="none"/>
        </w:rPr>
        <w:t xml:space="preserve">3 809 123,66</w:t>
      </w:r>
      <w:r>
        <w:rPr>
          <w:strike w:val="0"/>
          <w:szCs w:val="28"/>
          <w:highlight w:val="none"/>
        </w:rPr>
        <w:t xml:space="preserve"> тыс</w:t>
      </w:r>
      <w:r>
        <w:rPr>
          <w:strike w:val="0"/>
          <w:szCs w:val="28"/>
          <w:highlight w:val="none"/>
        </w:rPr>
        <w:t xml:space="preserve">.р</w:t>
      </w:r>
      <w:r>
        <w:rPr>
          <w:strike w:val="0"/>
          <w:szCs w:val="28"/>
          <w:highlight w:val="none"/>
        </w:rPr>
        <w:t xml:space="preserve">ублей при плановых назначениях </w:t>
      </w:r>
      <w:r>
        <w:rPr>
          <w:strike w:val="0"/>
          <w:szCs w:val="28"/>
          <w:highlight w:val="none"/>
        </w:rPr>
        <w:t xml:space="preserve">3 970 424,67</w:t>
      </w:r>
      <w:r>
        <w:rPr>
          <w:strike w:val="0"/>
          <w:szCs w:val="28"/>
          <w:highlight w:val="none"/>
        </w:rPr>
        <w:t xml:space="preserve"> тыс.рублей или </w:t>
      </w:r>
      <w:r>
        <w:rPr>
          <w:strike w:val="0"/>
          <w:szCs w:val="28"/>
          <w:highlight w:val="none"/>
        </w:rPr>
        <w:t xml:space="preserve">95,94</w:t>
      </w:r>
      <w:r>
        <w:rPr>
          <w:strike w:val="0"/>
          <w:szCs w:val="28"/>
          <w:highlight w:val="none"/>
        </w:rPr>
        <w:t xml:space="preserve">%.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84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Далее представлена непрограммная часть расходов в разрезе ГРБС.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spacing w:line="384" w:lineRule="auto"/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734"/>
        <w:ind w:firstLine="0"/>
        <w:jc w:val="center"/>
        <w:rPr>
          <w:strike w:val="0"/>
          <w:szCs w:val="28"/>
          <w:highlight w:val="none"/>
        </w:rPr>
      </w:pPr>
      <w:r/>
      <w:bookmarkStart w:id="25" w:name="_Toc24"/>
      <w:r>
        <w:rPr>
          <w:strike w:val="0"/>
          <w:szCs w:val="28"/>
          <w:highlight w:val="none"/>
        </w:rPr>
        <w:t xml:space="preserve">4.2.1. ГРБС «Дума города Владивостока»</w:t>
      </w:r>
      <w:r>
        <w:rPr>
          <w:strike w:val="0"/>
          <w:szCs w:val="28"/>
          <w:highlight w:val="none"/>
        </w:rPr>
      </w:r>
      <w:bookmarkEnd w:id="25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921"/>
        <w:ind w:right="-2"/>
        <w:jc w:val="both"/>
        <w:spacing w:after="0" w:line="336" w:lineRule="auto"/>
        <w:rPr>
          <w:sz w:val="28"/>
          <w:szCs w:val="28"/>
        </w:rPr>
      </w:pPr>
      <w:r>
        <w:rPr>
          <w:sz w:val="28"/>
          <w:szCs w:val="28"/>
        </w:rPr>
        <w:t xml:space="preserve">Дума города Владивостока является органом местного самоуправления, ГРБСом без подведомственных учреждений. Все расходы ГРБС относятся на содержание учреждения, а также мероприятия в области повышения уровня </w:t>
      </w:r>
      <w:r>
        <w:rPr>
          <w:sz w:val="28"/>
          <w:szCs w:val="28"/>
        </w:rPr>
        <w:t xml:space="preserve">информированности населения о социально-экономических и культурных процессах, происходящих на территории Владивостокского городского округа.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336" w:lineRule="auto"/>
        <w:rPr>
          <w:szCs w:val="28"/>
        </w:rPr>
      </w:pPr>
      <w:r>
        <w:rPr>
          <w:szCs w:val="28"/>
        </w:rPr>
        <w:t xml:space="preserve">В 2025 году штатная численность составляла 115 человек, фактическая – 92 человека.</w:t>
      </w:r>
      <w:r>
        <w:rPr>
          <w:szCs w:val="28"/>
        </w:rPr>
      </w:r>
      <w:r>
        <w:rPr>
          <w:szCs w:val="28"/>
        </w:rPr>
      </w:r>
    </w:p>
    <w:p>
      <w:pPr>
        <w:pStyle w:val="755"/>
        <w:ind w:left="-142" w:right="83" w:firstLine="720"/>
        <w:jc w:val="left"/>
        <w:tabs>
          <w:tab w:val="left" w:pos="9498" w:leader="none"/>
        </w:tabs>
        <w:rPr>
          <w:szCs w:val="28"/>
        </w:rPr>
      </w:pPr>
      <w:r>
        <w:rPr>
          <w:szCs w:val="28"/>
        </w:rPr>
        <w:t xml:space="preserve">Исполнение расходов в 2025</w:t>
      </w:r>
      <w:r>
        <w:rPr>
          <w:szCs w:val="28"/>
        </w:rPr>
        <w:t xml:space="preserve"> году представлено в таблице:</w:t>
      </w:r>
      <w:r>
        <w:rPr>
          <w:szCs w:val="28"/>
        </w:rPr>
      </w:r>
      <w:r>
        <w:rPr>
          <w:szCs w:val="28"/>
        </w:rPr>
      </w: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3119"/>
        <w:gridCol w:w="2976"/>
      </w:tblGrid>
      <w:tr>
        <w:tblPrEx/>
        <w:trPr>
          <w:trHeight w:val="60"/>
          <w:tblHeader/>
        </w:trPr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Уточненный план, </w:t>
            </w: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W w:w="60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tcW w:w="354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189 248,21 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187 924,66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99,30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</w:tr>
    </w:tbl>
    <w:p>
      <w:pPr>
        <w:pStyle w:val="921"/>
        <w:ind w:right="-2"/>
        <w:jc w:val="both"/>
        <w:spacing w:after="0" w:line="360" w:lineRule="auto"/>
        <w:rPr>
          <w:strike/>
          <w:sz w:val="28"/>
          <w:szCs w:val="28"/>
          <w:highlight w:val="green"/>
        </w:rPr>
      </w:pP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734"/>
        <w:ind w:right="0" w:firstLine="0"/>
        <w:tabs>
          <w:tab w:val="center" w:pos="5173" w:leader="none"/>
        </w:tabs>
        <w:rPr>
          <w:strike w:val="0"/>
          <w:szCs w:val="28"/>
          <w:highlight w:val="none"/>
        </w:rPr>
      </w:pPr>
      <w:r/>
      <w:bookmarkStart w:id="26" w:name="_Toc25"/>
      <w:r>
        <w:rPr>
          <w:strike w:val="0"/>
          <w:szCs w:val="28"/>
          <w:highlight w:val="none"/>
        </w:rPr>
        <w:tab/>
      </w:r>
      <w:r>
        <w:rPr>
          <w:strike w:val="0"/>
          <w:szCs w:val="28"/>
          <w:highlight w:val="none"/>
        </w:rPr>
        <w:t xml:space="preserve">4.2.2. ГРБС «Контрольно-счетная палата города Владивостока»</w:t>
      </w:r>
      <w:r>
        <w:rPr>
          <w:strike w:val="0"/>
          <w:szCs w:val="28"/>
          <w:highlight w:val="none"/>
        </w:rPr>
      </w:r>
      <w:bookmarkEnd w:id="26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/>
          <w:szCs w:val="28"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</w:p>
    <w:p>
      <w:pPr>
        <w:spacing w:line="336" w:lineRule="auto"/>
        <w:rPr>
          <w:szCs w:val="28"/>
        </w:rPr>
      </w:pPr>
      <w:r>
        <w:rPr>
          <w:szCs w:val="28"/>
        </w:rPr>
        <w:t xml:space="preserve">Контрольно-счётная палата города Владивостока является органом местного самоуправления, ГРБСом без подведомственных учреждений. Все расходы ГРБС относятся на содержание учреждения. В 2025</w:t>
      </w:r>
      <w:r>
        <w:rPr>
          <w:szCs w:val="28"/>
        </w:rPr>
        <w:t xml:space="preserve"> году штатная численность составляла 23 человека, фактическая – 20 человек.</w:t>
      </w:r>
      <w:r>
        <w:rPr>
          <w:szCs w:val="28"/>
        </w:rPr>
      </w:r>
      <w:r>
        <w:rPr>
          <w:szCs w:val="28"/>
        </w:rPr>
      </w:r>
    </w:p>
    <w:p>
      <w:pPr>
        <w:pStyle w:val="755"/>
        <w:ind w:firstLine="720"/>
        <w:jc w:val="left"/>
        <w:tabs>
          <w:tab w:val="left" w:pos="9498" w:leader="none"/>
        </w:tabs>
        <w:rPr>
          <w:szCs w:val="28"/>
        </w:rPr>
      </w:pPr>
      <w:r>
        <w:rPr>
          <w:szCs w:val="28"/>
        </w:rPr>
        <w:t xml:space="preserve">Исполнение расходов в 2025</w:t>
      </w:r>
      <w:r>
        <w:rPr>
          <w:szCs w:val="28"/>
        </w:rPr>
        <w:t xml:space="preserve"> году представлено в таблице:</w:t>
      </w:r>
      <w:r>
        <w:rPr>
          <w:szCs w:val="28"/>
        </w:rPr>
      </w:r>
      <w:r>
        <w:rPr>
          <w:szCs w:val="28"/>
        </w:rPr>
      </w: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3119"/>
        <w:gridCol w:w="2976"/>
      </w:tblGrid>
      <w:tr>
        <w:tblPrEx/>
        <w:trPr>
          <w:trHeight w:val="60"/>
          <w:tblHeader/>
        </w:trPr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Уточненный план, </w:t>
            </w: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W w:w="60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tcW w:w="3544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</w:rPr>
              <w:t xml:space="preserve">69 312,</w:t>
            </w:r>
            <w:r>
              <w:rPr>
                <w:bCs/>
                <w:color w:val="000000"/>
                <w:sz w:val="24"/>
                <w:highlight w:val="none"/>
              </w:rPr>
              <w:t xml:space="preserve">17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69 029,98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99,59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</w:tr>
    </w:tbl>
    <w:p>
      <w:pPr>
        <w:spacing w:line="336" w:lineRule="auto"/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0" w:firstLine="0"/>
        <w:jc w:val="center"/>
        <w:spacing w:line="336" w:lineRule="auto"/>
        <w:rPr>
          <w:strike w:val="0"/>
          <w:szCs w:val="28"/>
          <w:highlight w:val="none"/>
        </w:rPr>
      </w:pPr>
      <w:r/>
      <w:bookmarkStart w:id="27" w:name="_Toc26"/>
      <w:r>
        <w:rPr>
          <w:strike w:val="0"/>
          <w:szCs w:val="28"/>
          <w:highlight w:val="none"/>
        </w:rPr>
        <w:t xml:space="preserve">4.2.3 ГРБС «Администрация города Владивостока»</w:t>
      </w:r>
      <w:r>
        <w:rPr>
          <w:strike w:val="0"/>
          <w:szCs w:val="28"/>
          <w:highlight w:val="none"/>
        </w:rPr>
      </w:r>
      <w:bookmarkEnd w:id="27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21"/>
        <w:contextualSpacing/>
        <w:jc w:val="both"/>
        <w:spacing w:after="0" w:line="336" w:lineRule="auto"/>
        <w:rPr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Администрация города Владивостока является исполнительн</w:t>
      </w:r>
      <w:r>
        <w:rPr>
          <w:strike w:val="0"/>
          <w:sz w:val="28"/>
          <w:szCs w:val="28"/>
          <w:highlight w:val="none"/>
        </w:rPr>
        <w:t xml:space="preserve">о-</w:t>
      </w:r>
      <w:r>
        <w:rPr>
          <w:strike w:val="0"/>
          <w:sz w:val="28"/>
          <w:szCs w:val="28"/>
          <w:highlight w:val="none"/>
        </w:rPr>
        <w:t xml:space="preserve"> распорядительным органом местного самоуправления, главным распорядителем бюджетных средств с 4 подведомственными муниципальными казенными учреждениями.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Информация о численности администрации города Владивостока и подведомственных муниципальных казенных учреждений в 2025 году представлена в следующей таблице</w:t>
      </w:r>
      <w:r>
        <w:rPr>
          <w:strike w:val="0"/>
          <w:sz w:val="28"/>
          <w:szCs w:val="28"/>
          <w:highlight w:val="none"/>
        </w:rPr>
        <w:t xml:space="preserve">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8"/>
          <w:szCs w:val="28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человек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02"/>
        <w:gridCol w:w="2410"/>
        <w:gridCol w:w="2233"/>
      </w:tblGrid>
      <w:tr>
        <w:tblPrEx/>
        <w:trPr>
          <w:tblHeader/>
        </w:trPr>
        <w:tc>
          <w:tcPr>
            <w:tcBorders>
              <w:bottom w:val="single" w:color="000000" w:sz="4" w:space="0"/>
            </w:tcBorders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Штатная численность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bottom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Фактическая численность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города Владивостока,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612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работники, содержание которых осуществлялось за счет средств субвенций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73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5</w:t>
            </w:r>
            <w:r>
              <w:rPr>
                <w:i/>
                <w:sz w:val="24"/>
                <w:szCs w:val="24"/>
              </w:rPr>
              <w:t xml:space="preserve">1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tcBorders>
              <w:top w:val="single" w:color="000000" w:sz="4" w:space="0"/>
            </w:tcBorders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учреждение «Хозяйственное управление администрации города Владивостока»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учреждение «Архив города Владивостока»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учреждение «Центр развития предпринимательства»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1"/>
        </w:trPr>
        <w:tc>
          <w:tcPr>
            <w:tcW w:w="5102" w:type="dxa"/>
            <w:vMerge w:val="restart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Муниципальное казенное учреждение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"Центр производства и распространения социально значимой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"Владивосток"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233" w:type="dxa"/>
            <w:vAlign w:val="center"/>
            <w:vMerge w:val="restart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904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21"/>
        <w:contextualSpacing/>
        <w:jc w:val="right"/>
        <w:spacing w:after="0"/>
        <w:rPr>
          <w:strike/>
          <w:sz w:val="28"/>
          <w:szCs w:val="28"/>
          <w:highlight w:val="green"/>
        </w:rPr>
      </w:pP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921"/>
        <w:ind w:right="-2"/>
        <w:jc w:val="both"/>
        <w:spacing w:after="0" w:line="360" w:lineRule="auto"/>
        <w:rPr>
          <w:strike w:val="0"/>
          <w:sz w:val="28"/>
          <w:szCs w:val="28"/>
          <w:highlight w:val="none"/>
        </w:rPr>
      </w:pPr>
      <w:r>
        <w:rPr>
          <w:strike/>
          <w:sz w:val="28"/>
          <w:szCs w:val="28"/>
          <w:highlight w:val="green"/>
        </w:rPr>
      </w:r>
      <w:r>
        <w:rPr>
          <w:sz w:val="28"/>
          <w:szCs w:val="28"/>
        </w:rPr>
        <w:t xml:space="preserve">Структура непрограммных расходов ГРБС «Администрация города Владивостока» в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году представлена в </w:t>
      </w:r>
      <w:r>
        <w:rPr>
          <w:strike w:val="0"/>
          <w:sz w:val="28"/>
          <w:szCs w:val="28"/>
          <w:highlight w:val="none"/>
        </w:rPr>
        <w:t xml:space="preserve">таблице</w:t>
      </w:r>
      <w:r>
        <w:rPr>
          <w:strike w:val="0"/>
          <w:sz w:val="28"/>
          <w:szCs w:val="28"/>
          <w:highlight w:val="none"/>
        </w:rPr>
        <w:t xml:space="preserve">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103"/>
        <w:gridCol w:w="2127"/>
        <w:gridCol w:w="1559"/>
        <w:gridCol w:w="992"/>
      </w:tblGrid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Показатель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Уточненный план, </w:t>
            </w:r>
            <w:r>
              <w:rPr>
                <w:bCs/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Всего, в том числе: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2 403 609</w:t>
            </w:r>
            <w:r>
              <w:rPr>
                <w:sz w:val="24"/>
                <w:szCs w:val="24"/>
                <w:lang w:val="en-US"/>
              </w:rPr>
              <w:t xml:space="preserve">,</w:t>
            </w:r>
            <w:r>
              <w:rPr>
                <w:sz w:val="24"/>
                <w:szCs w:val="24"/>
                <w:lang w:val="en-US"/>
              </w:rPr>
              <w:t xml:space="preserve">4</w:t>
            </w:r>
            <w:r>
              <w:rPr>
                <w:sz w:val="24"/>
                <w:szCs w:val="24"/>
                <w:lang w:val="en-US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2 37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4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5,70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98,70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содержание главы Владивостокского городского округа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8 322,27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8 249,01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содержание органов местного самоуправления 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1 180 440,14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1 179 966,16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99,96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ВГО (расходы на СМИ)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52 968,84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52 968,84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Предупреждение возни</w:t>
            </w:r>
            <w:r>
              <w:rPr>
                <w:color w:val="000000"/>
                <w:sz w:val="24"/>
                <w:szCs w:val="24"/>
              </w:rPr>
              <w:t xml:space="preserve">кновения чрезвычайных ситуаций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 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1 000,00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2 600,00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Финансовый резерв администрации города Владивостока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13 728,90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государственных и муниципальных функций, связанных с общегосударственным управлением (исполнительные листы, представительские </w:t>
            </w:r>
            <w:r>
              <w:rPr>
                <w:color w:val="000000"/>
                <w:sz w:val="24"/>
                <w:szCs w:val="24"/>
              </w:rPr>
              <w:t xml:space="preserve">расходы)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233 418,90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232 905,36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99,78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по государственной регистрации актов гражданского состояния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65 432,47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65 101,27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99,49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муниципальных казенных учреждений (МКУ «ХОЗУ», МКУ «Архив», МКУ «ЦПРСЗИ»)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526 258,08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522 101,32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99,21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Единая субвенция местным бюджетам из краевого бюджета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22 969,46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22 937,83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99,86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6 148,75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6 148,75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Обеспечение жилыми помещениями детей-сирот и детей, оставшихся без попечения родителей, лиц из их числа за счет сре</w:t>
            </w:r>
            <w:r>
              <w:rPr>
                <w:sz w:val="24"/>
              </w:rPr>
              <w:t xml:space="preserve">дств кр</w:t>
            </w:r>
            <w:r>
              <w:rPr>
                <w:sz w:val="24"/>
              </w:rPr>
              <w:t xml:space="preserve">аевого бюджета 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37 832,57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37 290,94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98,57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Субвенции, на реализацию государственного полномочия по регулированию цен (тарифов) на перевозки пассажиров и багажа морским общественным транспортом на территории ВГО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29,38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29,38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Субвенции, передаваемые органам местного самоуправления городских округов и муниципальных районов Приморского </w:t>
            </w:r>
            <w:r>
              <w:rPr>
                <w:color w:val="000000"/>
                <w:sz w:val="24"/>
                <w:szCs w:val="24"/>
              </w:rPr>
              <w:t xml:space="preserve">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3,39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3,39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contextualSpacing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  <w:t xml:space="preserve"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10,65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доставке твердого топлива населению пос. Русский, пос. Попова, пос. Рейнеке и с. </w:t>
            </w:r>
            <w:r>
              <w:rPr>
                <w:color w:val="000000"/>
                <w:sz w:val="24"/>
                <w:szCs w:val="24"/>
              </w:rPr>
              <w:t xml:space="preserve">Береговое</w:t>
            </w:r>
            <w:r>
              <w:rPr>
                <w:color w:val="000000"/>
                <w:sz w:val="24"/>
                <w:szCs w:val="24"/>
              </w:rPr>
              <w:t xml:space="preserve">, проживающему в домах с печным отоплением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-500" w:firstLine="0"/>
              <w:jc w:val="left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Осуществлена доставка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1885,5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  <w:vertAlign w:val="superscript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 дров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, угля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1421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iCs/>
                <w:color w:val="auto"/>
                <w:sz w:val="22"/>
                <w:szCs w:val="22"/>
              </w:rPr>
              <w:t xml:space="preserve">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24 601,92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24 577,59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содержанию бани в поселке </w:t>
            </w:r>
            <w:r>
              <w:rPr>
                <w:color w:val="000000"/>
                <w:sz w:val="24"/>
                <w:szCs w:val="24"/>
              </w:rPr>
              <w:t xml:space="preserve">Попова города Владивостока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Посещаемость бани населением составила в среднем 1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17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человек в месяц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4 406,33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4 406,33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9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Субсидия ю</w:t>
            </w:r>
            <w:r>
              <w:rPr>
                <w:sz w:val="24"/>
              </w:rPr>
              <w:t xml:space="preserve">ридическим лицам, индивидуальным предпринимателям на возмещение затрат по обеспечению твердым топливом (углем, дровами) семей военнослужащих и мобилизованных граждан, проживающих в домах с печным отоплением на территории Владивостокского городского округа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highlight w:val="none"/>
              </w:rPr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Средства направлены на обеспечение 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твердым топливом (углем, дровами) </w:t>
            </w:r>
            <w:r>
              <w:rPr>
                <w:i/>
                <w:iCs/>
                <w:color w:val="auto"/>
                <w:sz w:val="22"/>
                <w:szCs w:val="22"/>
                <w:lang w:val="en-US"/>
              </w:rPr>
              <w:t xml:space="preserve">40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сем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ьям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военнослужащи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м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и мобилизованны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м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граждан, проживающи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м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в домах с печным отоплением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995,98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995,98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Прочие мероприятия в области социальной политики (ежемесячные доплаты к трудовой пенсии лицам, замещавшим мун</w:t>
            </w:r>
            <w:r>
              <w:rPr>
                <w:sz w:val="24"/>
              </w:rPr>
              <w:t xml:space="preserve">иципальные</w:t>
            </w:r>
            <w:r>
              <w:rPr>
                <w:sz w:val="24"/>
              </w:rPr>
              <w:t xml:space="preserve"> должности)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102 895,20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102 876,89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99,98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54 912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,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13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54 912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,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13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100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,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0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0</w:t>
            </w:r>
            <w:r>
              <w:rPr>
                <w:sz w:val="24"/>
                <w:highlight w:val="none"/>
              </w:rPr>
            </w:r>
            <w:r>
              <w:rPr>
                <w:sz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Средства направлены 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на аварийно-восстановительные работы по 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устранению  порывов на тепловых сетях в рамках исполнения решений комиссии по предупреждению  и ли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квидации чрезвычайных ситуаций,</w:t>
            </w:r>
            <w:r>
              <w:rPr>
                <w:i/>
                <w:iCs/>
                <w:color w:val="auto"/>
                <w:sz w:val="22"/>
                <w:szCs w:val="22"/>
              </w:rPr>
              <w:t xml:space="preserve"> аварийно-восстановительных работ здания МАУ «МРЦ» </w:t>
              <w:br/>
              <w:t xml:space="preserve">(ул. Семеновская, 3)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64"/>
              <w:ind w:firstLine="0"/>
              <w:jc w:val="right"/>
              <w:spacing w:line="240" w:lineRule="auto"/>
              <w:tabs>
                <w:tab w:val="center" w:pos="709" w:leader="none"/>
                <w:tab w:val="clear" w:pos="4677" w:leader="none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 xml:space="preserve">64 634,04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56 954,53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88,12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21"/>
        <w:ind w:right="-2"/>
        <w:jc w:val="both"/>
        <w:spacing w:after="0" w:line="360" w:lineRule="auto"/>
        <w:rPr>
          <w:strike/>
          <w:sz w:val="28"/>
          <w:szCs w:val="28"/>
          <w:highlight w:val="green"/>
        </w:rPr>
      </w:pP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highlight w:val="none"/>
        </w:rPr>
      </w:pPr>
      <w:r/>
      <w:bookmarkStart w:id="28" w:name="_Toc27"/>
      <w:r>
        <w:rPr>
          <w:strike w:val="0"/>
          <w:highlight w:val="none"/>
        </w:rPr>
        <w:t xml:space="preserve">4.2.4. ГРБС «Управление опеки и попечительства </w:t>
      </w:r>
      <w:r>
        <w:rPr>
          <w:strike w:val="0"/>
          <w:highlight w:val="none"/>
        </w:rPr>
        <w:br/>
      </w:r>
      <w:r>
        <w:rPr>
          <w:strike w:val="0"/>
          <w:highlight w:val="none"/>
        </w:rPr>
        <w:t xml:space="preserve">администрации города Владивостока»</w:t>
      </w:r>
      <w:r>
        <w:rPr>
          <w:strike w:val="0"/>
          <w:highlight w:val="none"/>
        </w:rPr>
      </w:r>
      <w:bookmarkEnd w:id="28"/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921"/>
        <w:jc w:val="both"/>
        <w:spacing w:after="0" w:line="384" w:lineRule="auto"/>
        <w:rPr>
          <w:sz w:val="28"/>
          <w:szCs w:val="28"/>
        </w:rPr>
      </w:pPr>
      <w:r>
        <w:rPr>
          <w:sz w:val="28"/>
          <w:szCs w:val="28"/>
        </w:rPr>
        <w:t xml:space="preserve">Управление опеки и попечительства администрации города Владивостока является главным распорядителем средств бюджета </w:t>
      </w:r>
      <w:r>
        <w:rPr>
          <w:sz w:val="28"/>
          <w:szCs w:val="28"/>
        </w:rPr>
        <w:t xml:space="preserve">ВГО</w:t>
      </w:r>
      <w:r>
        <w:rPr>
          <w:sz w:val="28"/>
          <w:szCs w:val="28"/>
        </w:rPr>
        <w:t xml:space="preserve"> без подведомственных учреждений. В 2025 году штатная численность составляла 38 человек, фактическая – 28 человек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 w:val="0"/>
          <w:highlight w:val="none"/>
        </w:rPr>
      </w:pPr>
      <w:r>
        <w:rPr>
          <w:szCs w:val="28"/>
        </w:rPr>
        <w:t xml:space="preserve">Структура расходов в 2025 году представлена в следующей та</w:t>
      </w:r>
      <w:r>
        <w:rPr>
          <w:strike w:val="0"/>
          <w:szCs w:val="28"/>
          <w:highlight w:val="none"/>
        </w:rPr>
        <w:t xml:space="preserve">блице</w:t>
      </w:r>
      <w:r>
        <w:rPr>
          <w:strike w:val="0"/>
          <w:szCs w:val="28"/>
          <w:highlight w:val="none"/>
        </w:rPr>
        <w:t xml:space="preserve">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1985"/>
        <w:gridCol w:w="1559"/>
        <w:gridCol w:w="850"/>
      </w:tblGrid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24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Показатель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Уточненный план, </w:t>
            </w:r>
            <w:r>
              <w:rPr>
                <w:bCs/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Всего, в том числе: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179 968,15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173 369,19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96,33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Субвенция на реализацию государственных полномочий по социальной поддержке детей, </w:t>
            </w:r>
            <w:r>
              <w:rPr>
                <w:bCs/>
                <w:sz w:val="24"/>
              </w:rPr>
              <w:t xml:space="preserve">оставшихся без попечения родителей, и лиц, принявших на воспитание в семью детей, оставшихся без попечения родителей </w:t>
            </w:r>
            <w:r>
              <w:rPr>
                <w:bCs/>
                <w:i/>
                <w:sz w:val="24"/>
              </w:rPr>
              <w:t xml:space="preserve">(выплаты опекунам)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130 017,83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123 453,51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94,95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ind w:right="-108" w:firstLine="0"/>
              <w:jc w:val="left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Расходы на содержание органов опеки и попечительства в отношении несовершеннолетних всего, в том числе за счет: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49 950,32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49 915,68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99,93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szCs w:val="28"/>
          <w:highlight w:val="none"/>
        </w:rPr>
      </w:pPr>
      <w:r/>
      <w:bookmarkStart w:id="29" w:name="_Toc28"/>
      <w:r>
        <w:rPr>
          <w:strike w:val="0"/>
          <w:szCs w:val="28"/>
          <w:highlight w:val="none"/>
        </w:rPr>
        <w:t xml:space="preserve">4.2.5. ГРБС «Административно-территориальное управление островных территорий администрации города Владивостока»</w:t>
      </w:r>
      <w:r>
        <w:rPr>
          <w:strike w:val="0"/>
          <w:szCs w:val="28"/>
          <w:highlight w:val="none"/>
        </w:rPr>
      </w:r>
      <w:bookmarkEnd w:id="29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921"/>
        <w:jc w:val="both"/>
        <w:spacing w:after="0" w:line="384" w:lineRule="auto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Административно-территориальное управление островных территорий администрации города Владивостока является главным распорядителем средств бюджета </w:t>
      </w:r>
      <w:r>
        <w:rPr>
          <w:sz w:val="28"/>
          <w:szCs w:val="28"/>
        </w:rPr>
        <w:t xml:space="preserve">ВГО</w:t>
      </w:r>
      <w:r>
        <w:rPr>
          <w:sz w:val="28"/>
          <w:szCs w:val="28"/>
        </w:rPr>
        <w:t xml:space="preserve"> без подведомственных учреждений. Все расходы ГРБС относятся на содержание </w:t>
      </w:r>
      <w:r>
        <w:rPr>
          <w:sz w:val="28"/>
          <w:szCs w:val="28"/>
        </w:rPr>
        <w:t xml:space="preserve">органа администрации города Владивостока</w:t>
      </w:r>
      <w:r>
        <w:rPr>
          <w:sz w:val="28"/>
          <w:szCs w:val="28"/>
        </w:rPr>
        <w:t xml:space="preserve">. В 2025 году штатная численность составляла 7 человек, фактическая – 7 человек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55"/>
        <w:ind w:firstLine="720"/>
        <w:jc w:val="both"/>
        <w:tabs>
          <w:tab w:val="left" w:pos="9498" w:leader="none"/>
        </w:tabs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Исполнение расходов в 2025</w:t>
      </w:r>
      <w:r>
        <w:rPr>
          <w:strike w:val="0"/>
          <w:szCs w:val="28"/>
          <w:highlight w:val="none"/>
        </w:rPr>
        <w:t xml:space="preserve"> году представлено в следующей </w:t>
        <w:br/>
        <w:t xml:space="preserve">таблице</w:t>
      </w:r>
      <w:r>
        <w:rPr>
          <w:strike w:val="0"/>
          <w:szCs w:val="28"/>
          <w:highlight w:val="none"/>
        </w:rPr>
        <w:t xml:space="preserve">: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3119"/>
        <w:gridCol w:w="2976"/>
      </w:tblGrid>
      <w:tr>
        <w:tblPrEx/>
        <w:trPr>
          <w:trHeight w:val="60"/>
          <w:tblHeader/>
        </w:trPr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strike w:val="0"/>
                <w:color w:val="000000"/>
                <w:sz w:val="24"/>
                <w:highlight w:val="none"/>
              </w:rPr>
            </w:pPr>
            <w:r>
              <w:rPr>
                <w:bCs/>
                <w:strike w:val="0"/>
                <w:color w:val="000000"/>
                <w:sz w:val="24"/>
                <w:highlight w:val="none"/>
              </w:rPr>
              <w:t xml:space="preserve">Уточненный план, </w:t>
            </w: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tcW w:w="60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Исполнено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%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tcW w:w="35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18 543,89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18 444,19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99,46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</w:tbl>
    <w:p>
      <w:pPr>
        <w:pStyle w:val="921"/>
        <w:contextualSpacing/>
        <w:jc w:val="left"/>
        <w:spacing w:after="0" w:line="240" w:lineRule="auto"/>
        <w:rPr>
          <w:strike/>
          <w:sz w:val="28"/>
          <w:szCs w:val="28"/>
          <w:highlight w:val="green"/>
        </w:rPr>
        <w:suppressLineNumbers w:val="0"/>
      </w:pP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739"/>
        <w:contextualSpacing/>
        <w:ind w:right="0" w:firstLine="0"/>
        <w:jc w:val="center"/>
        <w:spacing w:before="198" w:after="200" w:line="240" w:lineRule="auto"/>
        <w:rPr>
          <w:rFonts w:ascii="Times New Roman" w:hAnsi="Times New Roman" w:cs="Times New Roman"/>
          <w:szCs w:val="28"/>
        </w:rPr>
        <w:suppressLineNumbers w:val="0"/>
      </w:pPr>
      <w:r/>
      <w:bookmarkStart w:id="30" w:name="_Toc29"/>
      <w:r>
        <w:rPr>
          <w:rFonts w:ascii="Times New Roman" w:hAnsi="Times New Roman" w:eastAsia="Times New Roman" w:cs="Times New Roman"/>
          <w:sz w:val="28"/>
          <w:szCs w:val="28"/>
        </w:rPr>
        <w:t xml:space="preserve">4.2.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ГРБ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«Административно-территориальное управление поселка Трудовое 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дминистрации города Владивостока»</w:t>
      </w:r>
      <w:r>
        <w:rPr>
          <w:rFonts w:ascii="Times New Roman" w:hAnsi="Times New Roman" w:cs="Times New Roman"/>
          <w:szCs w:val="28"/>
        </w:rPr>
      </w:r>
      <w:bookmarkEnd w:id="30"/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p>
      <w:pPr>
        <w:pStyle w:val="921"/>
        <w:jc w:val="both"/>
        <w:spacing w:after="0" w:line="38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Административно-территориальное управление поселка Трудовое администрации города Владивостока является главным распорядителем средств бюджета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без подведомственных учреждений, создано в марте 2025 года. Все расходы ГРБС относятся на содержание органа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города Владивостока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 2025 году штатная численность составляла 8 человек, фактическая – 8 человек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55"/>
        <w:ind w:firstLine="720"/>
        <w:jc w:val="both"/>
        <w:tabs>
          <w:tab w:val="left" w:pos="9498" w:leader="none"/>
        </w:tabs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Исполнение расходов в 2025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году представлено в следующей таблице:</w:t>
      </w:r>
      <w:r>
        <w:rPr>
          <w:rFonts w:ascii="Times New Roman" w:hAnsi="Times New Roman" w:cs="Times New Roman"/>
          <w:szCs w:val="28"/>
        </w:rPr>
      </w:r>
      <w:r>
        <w:rPr>
          <w:rFonts w:ascii="Times New Roman" w:hAnsi="Times New Roman" w:cs="Times New Roman"/>
          <w:szCs w:val="28"/>
        </w:rPr>
      </w:r>
    </w:p>
    <w:tbl>
      <w:tblPr>
        <w:tblW w:w="9637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3119"/>
        <w:gridCol w:w="2974"/>
      </w:tblGrid>
      <w:tr>
        <w:tblPrEx/>
        <w:trPr>
          <w:trHeight w:val="60"/>
          <w:tblHeader/>
        </w:trPr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Уточненный план,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</w:r>
          </w:p>
        </w:tc>
        <w:tc>
          <w:tcPr>
            <w:gridSpan w:val="2"/>
            <w:tcW w:w="60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Исполнено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 рублей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W w:w="29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%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  <w:tr>
        <w:tblPrEx/>
        <w:trPr>
          <w:trHeight w:val="60"/>
        </w:trPr>
        <w:tc>
          <w:tcPr>
            <w:tcW w:w="35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14 840,24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W w:w="31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14 332,01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W w:w="29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96,58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</w:tr>
    </w:tbl>
    <w:p>
      <w:pPr>
        <w:pStyle w:val="734"/>
        <w:ind w:right="-57" w:firstLine="0"/>
        <w:jc w:val="center"/>
        <w:spacing w:line="240" w:lineRule="auto"/>
        <w:rPr>
          <w:strike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-57" w:firstLine="0"/>
        <w:jc w:val="center"/>
        <w:spacing w:line="240" w:lineRule="auto"/>
        <w:rPr>
          <w:strike w:val="0"/>
          <w:highlight w:val="none"/>
        </w:rPr>
      </w:pPr>
      <w:r/>
      <w:bookmarkStart w:id="31" w:name="_Toc30"/>
      <w:r>
        <w:rPr>
          <w:strike w:val="0"/>
          <w:szCs w:val="28"/>
          <w:highlight w:val="none"/>
        </w:rPr>
        <w:t xml:space="preserve">4.2.7. </w:t>
      </w:r>
      <w:r>
        <w:rPr>
          <w:strike w:val="0"/>
          <w:szCs w:val="28"/>
          <w:highlight w:val="none"/>
        </w:rPr>
        <w:t xml:space="preserve">ГРБС «Управление общественной безопасности и взаимодействия с органами власти администрации города Владивостока»</w:t>
      </w:r>
      <w:r>
        <w:rPr>
          <w:strike w:val="0"/>
          <w:highlight w:val="none"/>
        </w:rPr>
      </w:r>
      <w:bookmarkEnd w:id="31"/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trike/>
          <w:sz w:val="28"/>
          <w:szCs w:val="28"/>
          <w:highlight w:val="green"/>
        </w:rPr>
      </w:pP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921"/>
        <w:jc w:val="both"/>
        <w:spacing w:after="0" w:line="384" w:lineRule="auto"/>
        <w:rPr>
          <w:sz w:val="28"/>
          <w:szCs w:val="28"/>
        </w:rPr>
      </w:pPr>
      <w:r>
        <w:rPr>
          <w:sz w:val="28"/>
          <w:szCs w:val="28"/>
        </w:rPr>
        <w:t xml:space="preserve">Управление общественной безопасности и взаимодействия с органами власти администрации города Владивостока является органом администрации города Владивостока, главным распорядителем бюджетных сре</w:t>
      </w:r>
      <w:r>
        <w:rPr>
          <w:sz w:val="28"/>
          <w:szCs w:val="28"/>
        </w:rPr>
        <w:t xml:space="preserve">дств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</w:t>
      </w:r>
      <w:r>
        <w:rPr>
          <w:sz w:val="28"/>
          <w:szCs w:val="28"/>
        </w:rPr>
        <w:t xml:space="preserve">емя</w:t>
      </w:r>
      <w:r>
        <w:rPr>
          <w:sz w:val="28"/>
          <w:szCs w:val="28"/>
        </w:rPr>
        <w:t xml:space="preserve"> подведомственными учреждениями: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z w:val="28"/>
          <w:szCs w:val="28"/>
        </w:rPr>
        <w:t xml:space="preserve">Информация о численности управления и подведомственных муниципальных казенных учреждений в 2025 году представлена в следующей табли</w:t>
      </w:r>
      <w:r>
        <w:rPr>
          <w:strike w:val="0"/>
          <w:sz w:val="28"/>
          <w:szCs w:val="28"/>
          <w:highlight w:val="none"/>
        </w:rPr>
        <w:t xml:space="preserve">це</w:t>
      </w:r>
      <w:r>
        <w:rPr>
          <w:strike w:val="0"/>
          <w:sz w:val="28"/>
          <w:szCs w:val="28"/>
          <w:highlight w:val="none"/>
        </w:rPr>
        <w:t xml:space="preserve">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4"/>
          <w:szCs w:val="24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человек</w:t>
      </w:r>
      <w:r>
        <w:rPr>
          <w:strike w:val="0"/>
          <w:sz w:val="24"/>
          <w:szCs w:val="24"/>
          <w:highlight w:val="none"/>
        </w:rPr>
      </w:r>
      <w:r>
        <w:rPr>
          <w:strike w:val="0"/>
          <w:sz w:val="24"/>
          <w:szCs w:val="24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663"/>
        <w:gridCol w:w="1559"/>
        <w:gridCol w:w="1417"/>
      </w:tblGrid>
      <w:tr>
        <w:tblPrEx/>
        <w:trPr>
          <w:tblHeader/>
        </w:trPr>
        <w:tc>
          <w:tcPr>
            <w:tcW w:w="6663" w:type="dxa"/>
            <w:vAlign w:val="center"/>
            <w:textDirection w:val="lrTb"/>
            <w:noWrap w:val="false"/>
          </w:tcPr>
          <w:p>
            <w:pPr>
              <w:pStyle w:val="921"/>
              <w:ind w:left="-108" w:right="-108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left="-108" w:right="-108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Штатная численность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left="-108" w:right="-108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численность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общественной безопасности и взаимодействия с органами власти администрации города Владивостока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«Управление гражданской защиты города Владивостока»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«Владивостокская городская поисково-спасательная служба»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108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«Единая дежурная диспетчерская служба города Владивостока»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51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4</w:t>
            </w:r>
            <w:r>
              <w:rPr>
                <w:sz w:val="24"/>
                <w:szCs w:val="24"/>
                <w:lang w:val="en-US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работники, содержание которых осуществлялось за счет средств субвенций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184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171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zCs w:val="28"/>
        </w:rPr>
      </w:pPr>
      <w:r>
        <w:rPr>
          <w:szCs w:val="28"/>
        </w:rPr>
        <w:t xml:space="preserve">Структура расходов в 2025</w:t>
      </w:r>
      <w:r>
        <w:rPr>
          <w:szCs w:val="28"/>
        </w:rPr>
        <w:t xml:space="preserve"> году представлена в следующей таблице:</w:t>
      </w:r>
      <w:r>
        <w:rPr>
          <w:szCs w:val="28"/>
        </w:rPr>
      </w:r>
      <w:r>
        <w:rPr>
          <w:szCs w:val="28"/>
        </w:rPr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245"/>
        <w:gridCol w:w="1985"/>
        <w:gridCol w:w="1417"/>
        <w:gridCol w:w="992"/>
      </w:tblGrid>
      <w:tr>
        <w:tblPrEx/>
        <w:trPr>
          <w:trHeight w:val="6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Уточненный план, </w:t>
            </w:r>
            <w:r>
              <w:rPr>
                <w:bCs/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285 339,47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282 431,64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98,98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содержание управления общественной безопасности и взаимодействия с органами власти администрации города Владивостока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45 252,95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44 862,76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99,14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5 022,64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3 983,83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79,32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«Управление гражданской защиты города Владивостока»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63 530,36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63 193,38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99,47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«Владивостокская городская поисков</w:t>
            </w:r>
            <w:r>
              <w:rPr>
                <w:sz w:val="24"/>
                <w:szCs w:val="24"/>
              </w:rPr>
              <w:t xml:space="preserve">о-</w:t>
            </w:r>
            <w:r>
              <w:rPr>
                <w:sz w:val="24"/>
                <w:szCs w:val="24"/>
              </w:rPr>
              <w:t xml:space="preserve"> спасательная служба»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95 746,50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94 807,15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99,02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«Единая дежурная диспетчерская служба города Владивостока»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61 462,43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61 429,97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99,95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1 307,55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1 307,42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99,99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Единая субвенция местным бюджетам из краевого бюджета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10 148,54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9 978,73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98,33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и содержание минерализованных противопожарных полос на территории Владивостокского городского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2 868,50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2 868,40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100,00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</w:tbl>
    <w:p>
      <w:pPr>
        <w:pStyle w:val="921"/>
        <w:contextualSpacing/>
        <w:jc w:val="right"/>
        <w:spacing w:after="0"/>
        <w:rPr>
          <w:strike/>
          <w:sz w:val="28"/>
          <w:szCs w:val="28"/>
          <w:highlight w:val="green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highlight w:val="none"/>
        </w:rPr>
      </w:pPr>
      <w:r/>
      <w:bookmarkStart w:id="32" w:name="_Toc31"/>
      <w:r>
        <w:rPr>
          <w:strike w:val="0"/>
          <w:highlight w:val="none"/>
        </w:rPr>
        <w:t xml:space="preserve">4.2.8</w:t>
      </w:r>
      <w:r>
        <w:rPr>
          <w:strike w:val="0"/>
          <w:highlight w:val="none"/>
        </w:rPr>
        <w:t xml:space="preserve">. ГРБС «Управление финансов администрации</w:t>
      </w:r>
      <w:r>
        <w:rPr>
          <w:strike w:val="0"/>
          <w:highlight w:val="none"/>
        </w:rPr>
        <w:t xml:space="preserve"> </w:t>
      </w:r>
      <w:r>
        <w:rPr>
          <w:strike w:val="0"/>
          <w:highlight w:val="none"/>
        </w:rPr>
        <w:t xml:space="preserve">города Владивостока»</w:t>
      </w:r>
      <w:r>
        <w:rPr>
          <w:strike w:val="0"/>
          <w:highlight w:val="none"/>
        </w:rPr>
      </w:r>
      <w:bookmarkEnd w:id="32"/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trike w:val="0"/>
          <w:sz w:val="24"/>
          <w:szCs w:val="24"/>
          <w:highlight w:val="none"/>
        </w:rPr>
      </w:pPr>
      <w:r>
        <w:rPr>
          <w:strike w:val="0"/>
          <w:sz w:val="24"/>
          <w:szCs w:val="24"/>
          <w:highlight w:val="none"/>
        </w:rPr>
      </w:r>
      <w:r>
        <w:rPr>
          <w:strike w:val="0"/>
          <w:sz w:val="24"/>
          <w:szCs w:val="24"/>
          <w:highlight w:val="none"/>
        </w:rPr>
      </w:r>
      <w:r>
        <w:rPr>
          <w:strike w:val="0"/>
          <w:sz w:val="24"/>
          <w:szCs w:val="24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Управление финансов администрации города Владивостока является главным распорядителем средств бюджета </w:t>
      </w:r>
      <w:r>
        <w:rPr>
          <w:sz w:val="28"/>
          <w:szCs w:val="28"/>
        </w:rPr>
        <w:t xml:space="preserve">ВГО</w:t>
      </w:r>
      <w:r>
        <w:rPr>
          <w:sz w:val="28"/>
          <w:szCs w:val="28"/>
        </w:rPr>
        <w:t xml:space="preserve"> с одним подведомственным учреждением МКУ «Центр бюджетного учета», созданным в марте 2025 года.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 w:val="0"/>
          <w:highlight w:val="none"/>
        </w:rPr>
      </w:pPr>
      <w:r>
        <w:rPr>
          <w:sz w:val="28"/>
          <w:szCs w:val="28"/>
        </w:rPr>
        <w:t xml:space="preserve">Информация о численности управления и подведомственных муниципальных казенных учреждений в 2025 году представлена в следующей таблиц</w:t>
      </w:r>
      <w:r>
        <w:rPr>
          <w:strike w:val="0"/>
          <w:sz w:val="28"/>
          <w:szCs w:val="28"/>
          <w:highlight w:val="none"/>
        </w:rPr>
        <w:t xml:space="preserve">е</w:t>
      </w:r>
      <w:r>
        <w:rPr>
          <w:strike w:val="0"/>
          <w:szCs w:val="28"/>
          <w:highlight w:val="none"/>
        </w:rPr>
        <w:t xml:space="preserve">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21"/>
        <w:contextualSpacing/>
        <w:jc w:val="right"/>
        <w:spacing w:after="0"/>
        <w:rPr>
          <w:sz w:val="28"/>
          <w:szCs w:val="28"/>
        </w:rPr>
      </w:pPr>
      <w:r>
        <w:rPr>
          <w:sz w:val="24"/>
          <w:szCs w:val="24"/>
        </w:rPr>
        <w:t xml:space="preserve">человек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663"/>
        <w:gridCol w:w="1559"/>
        <w:gridCol w:w="1417"/>
      </w:tblGrid>
      <w:tr>
        <w:tblPrEx/>
        <w:trPr>
          <w:tblHeader/>
        </w:trPr>
        <w:tc>
          <w:tcPr>
            <w:tcW w:w="6663" w:type="dxa"/>
            <w:vAlign w:val="center"/>
            <w:textDirection w:val="lrTb"/>
            <w:noWrap w:val="false"/>
          </w:tcPr>
          <w:p>
            <w:pPr>
              <w:pStyle w:val="921"/>
              <w:ind w:left="-108" w:right="-108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left="-108" w:right="-108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Штатная численность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left="-108" w:right="-108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численность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финансов администрации города Владивостока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«Центр бюджетного учета»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6663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106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right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95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21"/>
        <w:ind w:right="-2"/>
        <w:jc w:val="both"/>
        <w:spacing w:after="0"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zCs w:val="28"/>
        </w:rPr>
      </w:pPr>
      <w:r>
        <w:rPr>
          <w:szCs w:val="28"/>
        </w:rPr>
        <w:t xml:space="preserve">Структура расходов в 2025</w:t>
      </w:r>
      <w:r>
        <w:rPr>
          <w:szCs w:val="28"/>
        </w:rPr>
        <w:t xml:space="preserve"> году представлена в следующей таблице:</w:t>
      </w:r>
      <w:r>
        <w:rPr>
          <w:szCs w:val="28"/>
        </w:rPr>
      </w:r>
      <w:r>
        <w:rPr>
          <w:szCs w:val="28"/>
        </w:rPr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245"/>
        <w:gridCol w:w="1985"/>
        <w:gridCol w:w="1417"/>
        <w:gridCol w:w="992"/>
      </w:tblGrid>
      <w:tr>
        <w:tblPrEx/>
        <w:trPr>
          <w:trHeight w:val="6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Уточненный план, </w:t>
            </w:r>
            <w:r>
              <w:rPr>
                <w:bCs/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Всего, 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118 585,79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14 537,75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t xml:space="preserve">12,26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754"/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Финансовый резерв администрации города Владивостока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104 017,16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0,00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0,00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0"/>
            </w:pPr>
            <w:r>
              <w:rPr>
                <w:sz w:val="24"/>
                <w:szCs w:val="24"/>
              </w:rPr>
              <w:t xml:space="preserve">МКУ «Центр бюджетного учета»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14 568,63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14 537,75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08"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99,79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4"/>
        <w:ind w:right="0" w:firstLine="0"/>
        <w:jc w:val="center"/>
        <w:rPr>
          <w:strike w:val="0"/>
          <w:highlight w:val="none"/>
        </w:rPr>
      </w:pPr>
      <w:r/>
      <w:bookmarkStart w:id="33" w:name="_Toc32"/>
      <w:r>
        <w:rPr>
          <w:strike w:val="0"/>
          <w:highlight w:val="none"/>
        </w:rPr>
        <w:t xml:space="preserve">4.2.</w:t>
      </w:r>
      <w:r>
        <w:rPr>
          <w:strike w:val="0"/>
          <w:highlight w:val="none"/>
        </w:rPr>
        <w:t xml:space="preserve">9</w:t>
      </w:r>
      <w:r>
        <w:rPr>
          <w:strike w:val="0"/>
          <w:highlight w:val="none"/>
        </w:rPr>
        <w:t xml:space="preserve">. ГРБС «Управление дорог администрации города Владивостока»</w:t>
      </w:r>
      <w:r>
        <w:rPr>
          <w:strike w:val="0"/>
          <w:highlight w:val="none"/>
        </w:rPr>
      </w:r>
      <w:bookmarkEnd w:id="33"/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jc w:val="right"/>
        <w:rPr>
          <w:strike w:val="0"/>
          <w:sz w:val="20"/>
          <w:szCs w:val="20"/>
          <w:highlight w:val="none"/>
        </w:rPr>
      </w:pPr>
      <w:r>
        <w:rPr>
          <w:strike w:val="0"/>
          <w:sz w:val="20"/>
          <w:szCs w:val="20"/>
          <w:highlight w:val="none"/>
        </w:rPr>
      </w:r>
      <w:r>
        <w:rPr>
          <w:strike w:val="0"/>
          <w:sz w:val="20"/>
          <w:szCs w:val="20"/>
          <w:highlight w:val="none"/>
        </w:rPr>
      </w:r>
      <w:r>
        <w:rPr>
          <w:strike w:val="0"/>
          <w:sz w:val="20"/>
          <w:szCs w:val="20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Управление дорог администрации города Владивостока является главным распорядителем средств бюджета </w:t>
      </w:r>
      <w:r>
        <w:rPr>
          <w:strike w:val="0"/>
          <w:sz w:val="28"/>
          <w:szCs w:val="28"/>
          <w:highlight w:val="none"/>
        </w:rPr>
        <w:t xml:space="preserve">ВГО</w:t>
      </w:r>
      <w:r>
        <w:rPr>
          <w:strike w:val="0"/>
          <w:sz w:val="28"/>
          <w:szCs w:val="28"/>
          <w:highlight w:val="none"/>
        </w:rPr>
        <w:t xml:space="preserve"> с одним подведомственным учреждением.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Информация о численности управления и подведомственного муниципального казенного учреждения в 2025 году представлена в следующей таблице: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8"/>
          <w:szCs w:val="28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человек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02"/>
        <w:gridCol w:w="2410"/>
        <w:gridCol w:w="2233"/>
      </w:tblGrid>
      <w:tr>
        <w:tblPrEx/>
        <w:trPr>
          <w:tblHeader/>
        </w:trPr>
        <w:tc>
          <w:tcPr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Штатная численность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Фактическая численность 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Управление дорог администрации города Владивостока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52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ru-RU"/>
              </w:rPr>
              <w:t xml:space="preserve">48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МКУ «Центр организации дорожного движения»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3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2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29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Всего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ru-RU"/>
              </w:rPr>
              <w:t xml:space="preserve">84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highlight w:val="none"/>
                <w14:ligatures w14:val="none"/>
              </w:rPr>
            </w:pPr>
            <w:r>
              <w:rPr>
                <w:strike w:val="0"/>
                <w:sz w:val="24"/>
                <w:szCs w:val="24"/>
                <w:highlight w:val="none"/>
                <w:lang w:val="ru-RU"/>
              </w:rPr>
              <w:t xml:space="preserve">77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/>
          <w:szCs w:val="28"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в 2025</w:t>
      </w:r>
      <w:r>
        <w:rPr>
          <w:strike w:val="0"/>
          <w:szCs w:val="28"/>
          <w:highlight w:val="none"/>
        </w:rPr>
        <w:t xml:space="preserve"> году представлена в следующей таблице: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tbl>
      <w:tblPr>
        <w:tblStyle w:val="769"/>
        <w:tblW w:w="0" w:type="auto"/>
        <w:tblInd w:w="108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2125"/>
        <w:gridCol w:w="1559"/>
        <w:gridCol w:w="993"/>
      </w:tblGrid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Cs/>
                <w:strike/>
                <w:color w:val="00000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bCs/>
                <w:strike/>
                <w:color w:val="000000"/>
                <w:sz w:val="24"/>
                <w:highlight w:val="none"/>
              </w:rPr>
            </w:r>
            <w:r>
              <w:rPr>
                <w:bCs/>
                <w:strike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strike/>
                <w:color w:val="000000"/>
                <w:sz w:val="24"/>
                <w:highlight w:val="none"/>
              </w:rPr>
            </w:pPr>
            <w:r>
              <w:rPr>
                <w:bCs/>
                <w:strike w:val="0"/>
                <w:color w:val="000000"/>
                <w:sz w:val="24"/>
                <w:highlight w:val="none"/>
              </w:rPr>
              <w:t xml:space="preserve">Уточненный план, 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  <w:br/>
            </w: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bCs/>
                <w:strike/>
                <w:color w:val="000000"/>
                <w:sz w:val="24"/>
                <w:highlight w:val="none"/>
              </w:rPr>
            </w:r>
            <w:r>
              <w:rPr>
                <w:bCs/>
                <w:strike/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2" w:type="dxa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trike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Исполнено</w:t>
            </w:r>
            <w:r>
              <w:rPr>
                <w:strike/>
                <w:color w:val="000000"/>
                <w:sz w:val="24"/>
                <w:highlight w:val="none"/>
              </w:rPr>
            </w:r>
            <w:r>
              <w:rPr>
                <w:strike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trike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strike/>
                <w:color w:val="000000"/>
                <w:sz w:val="24"/>
                <w:highlight w:val="none"/>
              </w:rPr>
            </w:r>
            <w:r>
              <w:rPr>
                <w:strike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trike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%</w:t>
            </w:r>
            <w:r>
              <w:rPr>
                <w:strike/>
                <w:color w:val="000000"/>
                <w:sz w:val="24"/>
                <w:highlight w:val="none"/>
              </w:rPr>
            </w:r>
            <w:r>
              <w:rPr>
                <w:strike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Всего, в том числе: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/>
          </w:tcPr>
          <w:p>
            <w:pPr>
              <w:contextualSpacing w:val="0"/>
              <w:ind w:left="0" w:right="0" w:firstLine="0"/>
              <w:jc w:val="right"/>
              <w:spacing w:line="240" w:lineRule="auto"/>
              <w:rPr>
                <w:highlight w:val="none"/>
              </w:rP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  <w:lang w:val="ru-RU"/>
              </w:rPr>
              <w:t xml:space="preserve">63 018</w:t>
            </w:r>
            <w:r>
              <w:rPr>
                <w:strike w:val="0"/>
                <w:sz w:val="24"/>
                <w:szCs w:val="24"/>
                <w:highlight w:val="none"/>
                <w:lang w:val="ru-RU"/>
              </w:rPr>
              <w:t xml:space="preserve">,55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  <w:lang w:val="ru-RU"/>
              </w:rPr>
              <w:t xml:space="preserve">60 374,98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5,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8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1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4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 w:val="0"/>
                <w:bCs w:val="0"/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Реализация муниципальных функций, связанных с общегосударственным управл</w:t>
            </w:r>
            <w:r>
              <w:rPr>
                <w:b w:val="0"/>
                <w:bCs w:val="0"/>
                <w:strike w:val="0"/>
                <w:color w:val="000000"/>
                <w:sz w:val="24"/>
                <w:szCs w:val="24"/>
                <w:highlight w:val="none"/>
              </w:rPr>
              <w:t xml:space="preserve">ением</w:t>
            </w:r>
            <w:r>
              <w:rPr>
                <w:b w:val="0"/>
                <w:bCs w:val="0"/>
                <w:strike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trike w:val="0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 w:val="0"/>
                <w:bCs w:val="0"/>
                <w:i/>
                <w:strike w:val="0"/>
                <w:color w:val="000000"/>
                <w:sz w:val="24"/>
                <w:szCs w:val="24"/>
                <w:highlight w:val="none"/>
              </w:rPr>
              <w:t xml:space="preserve">Исполнительн</w:t>
            </w:r>
            <w:r>
              <w:rPr>
                <w:i/>
                <w:strike w:val="0"/>
                <w:color w:val="000000"/>
                <w:sz w:val="24"/>
                <w:szCs w:val="24"/>
                <w:highlight w:val="none"/>
              </w:rPr>
              <w:t xml:space="preserve">ые листы, пени, штрафы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18 188,88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17 023,48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93,59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Поддержка проектов, инициируемых жителями муниципальных образований, по решению вопросов местного </w:t>
              <w:br/>
              <w:t xml:space="preserve">значения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998,17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998,17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100,00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36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9" w:type="dxa"/>
            <w:vMerge w:val="restart"/>
            <w:textDirection w:val="lrTb"/>
            <w:noWrap/>
          </w:tcPr>
          <w:p>
            <w:pPr>
              <w:ind w:firstLine="0"/>
              <w:spacing w:line="240" w:lineRule="auto"/>
              <w:shd w:val="clear" w:color="auto" w:fill="ffffff"/>
              <w:rPr>
                <w:b w:val="0"/>
                <w:bCs/>
                <w:i/>
                <w:spacing w:val="-1"/>
                <w:sz w:val="24"/>
                <w:highlight w:val="none"/>
              </w:rPr>
            </w:pP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</w:rPr>
              <w:t xml:space="preserve">выполнены работы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</w:rPr>
              <w:t xml:space="preserve"> по проекту «Дорога с ароматом хлеба» - 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</w:rPr>
              <w:t xml:space="preserve">ремонт проезда между </w:t>
              <w:br/>
              <w:t xml:space="preserve">домами №35 и №37 по Народному проспекту, г. Владивосток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</w:rPr>
              <w:t xml:space="preserve"> (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</w:rPr>
              <w:t xml:space="preserve">300 м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  <w:vertAlign w:val="superscript"/>
              </w:rPr>
              <w:t xml:space="preserve">2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</w:rPr>
              <w:t xml:space="preserve">)</w:t>
            </w:r>
            <w:r>
              <w:rPr>
                <w:b w:val="0"/>
                <w:bCs w:val="0"/>
                <w:i/>
                <w:iCs/>
                <w:strike w:val="0"/>
                <w:spacing w:val="-1"/>
                <w:sz w:val="24"/>
                <w:szCs w:val="24"/>
                <w:highlight w:val="none"/>
                <w:vertAlign w:val="superscript"/>
              </w:rPr>
              <w:t xml:space="preserve">.</w:t>
            </w:r>
            <w:r>
              <w:rPr>
                <w:b w:val="0"/>
                <w:bCs/>
                <w:i/>
                <w:spacing w:val="-1"/>
                <w:sz w:val="24"/>
                <w:highlight w:val="none"/>
              </w:rPr>
            </w:r>
            <w:r>
              <w:rPr>
                <w:b w:val="0"/>
                <w:bCs/>
                <w:i/>
                <w:spacing w:val="-1"/>
                <w:sz w:val="24"/>
                <w:highlight w:val="none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/>
          </w:tcPr>
          <w:p>
            <w:pPr>
              <w:contextualSpacing w:val="0"/>
              <w:ind w:firstLine="0"/>
              <w:jc w:val="right"/>
              <w:spacing w:line="240" w:lineRule="auto"/>
              <w:rPr>
                <w:highlight w:val="yellow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9 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831,50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9 831,50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100,00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85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9" w:type="dxa"/>
            <w:vMerge w:val="restart"/>
            <w:textDirection w:val="lrTb"/>
            <w:noWrap/>
          </w:tcPr>
          <w:p>
            <w:pPr>
              <w:ind w:firstLine="0"/>
              <w:spacing w:line="240" w:lineRule="auto"/>
              <w:shd w:val="clear" w:color="auto" w:fill="ffffff"/>
              <w:rPr>
                <w:bCs/>
                <w:i/>
                <w:spacing w:val="-1"/>
                <w:sz w:val="24"/>
              </w:rPr>
            </w:pPr>
            <w:r>
              <w:rPr>
                <w:i/>
                <w:iCs/>
                <w:spacing w:val="-1"/>
                <w:sz w:val="24"/>
                <w:szCs w:val="24"/>
              </w:rPr>
              <w:t xml:space="preserve">Выполнены работы</w:t>
            </w:r>
            <w:r>
              <w:rPr>
                <w:rFonts w:asciiTheme="minorHAnsi" w:hAnsiTheme="minorHAnsi" w:eastAsiaTheme="minorHAnsi" w:cstheme="minorBidi"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i/>
                <w:iCs/>
                <w:spacing w:val="-1"/>
                <w:sz w:val="24"/>
                <w:szCs w:val="24"/>
              </w:rPr>
              <w:t xml:space="preserve">по очистке от снега и льда элементов улично-дорожной сети, в том числе тротуаров, лестниц, площадок отдыха, стоянок автомобилей, и </w:t>
              <w:br/>
              <w:t xml:space="preserve">остановок общественного транспорта на территории Владивостокского городского округа, </w:t>
            </w:r>
            <w:r>
              <w:rPr>
                <w:i/>
                <w:iCs/>
                <w:spacing w:val="-1"/>
                <w:sz w:val="24"/>
                <w:szCs w:val="24"/>
              </w:rPr>
              <w:t xml:space="preserve">погрузке и вывозу снега и наледи на площадку временного складирования </w:t>
              <w:br/>
              <w:t xml:space="preserve">снега</w:t>
            </w:r>
            <w:r>
              <w:rPr>
                <w:bCs/>
                <w:i/>
                <w:spacing w:val="-1"/>
                <w:sz w:val="24"/>
              </w:rPr>
            </w:r>
            <w:r>
              <w:rPr>
                <w:bCs/>
                <w:i/>
                <w:spacing w:val="-1"/>
                <w:sz w:val="24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color w:val="000000"/>
                <w:sz w:val="24"/>
                <w:szCs w:val="24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Обеспечение мероприятий по предотвращению чрезвычайной ситуации, вызванной обстоятельствами непреодолимой силы, носящей непредотвратимый характер, в том числе в целях предотвращения распространения новой коронавирусной инфекции (COVID-19)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highlight w:val="yellow"/>
              </w:rPr>
              <w:suppressLineNumbers w:val="0"/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white"/>
              </w:rPr>
              <w:t xml:space="preserve">34 </w:t>
            </w:r>
            <w:r>
              <w:rPr>
                <w:sz w:val="24"/>
                <w:szCs w:val="24"/>
                <w:highlight w:val="white"/>
              </w:rPr>
              <w:t xml:space="preserve">000,00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  <w:highlight w:val="none"/>
              </w:rPr>
              <w:t xml:space="preserve">32 521,83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3" w:type="dxa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highlight w:val="yellow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  <w:highlight w:val="none"/>
              </w:rPr>
              <w:t xml:space="preserve">95,65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>
          <w:trHeight w:val="49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9" w:type="dxa"/>
            <w:vMerge w:val="restart"/>
            <w:textDirection w:val="lrTb"/>
            <w:noWrap/>
          </w:tcPr>
          <w:p>
            <w:pPr>
              <w:ind w:firstLine="0"/>
              <w:spacing w:line="240" w:lineRule="auto"/>
              <w:shd w:val="clear" w:color="auto" w:fill="ffffff"/>
              <w:rPr>
                <w:bCs/>
                <w:spacing w:val="-1"/>
                <w:sz w:val="24"/>
              </w:rPr>
            </w:pPr>
            <w:r>
              <w:rPr>
                <w:b w:val="0"/>
                <w:bCs w:val="0"/>
                <w:i/>
                <w:iCs/>
                <w:spacing w:val="-1"/>
                <w:sz w:val="24"/>
                <w:szCs w:val="24"/>
              </w:rPr>
              <w:t xml:space="preserve">Разработана </w:t>
            </w:r>
            <w:r>
              <w:rPr>
                <w:b w:val="0"/>
                <w:bCs w:val="0"/>
                <w:i/>
                <w:iCs/>
                <w:spacing w:val="-1"/>
                <w:sz w:val="24"/>
                <w:szCs w:val="24"/>
              </w:rPr>
              <w:t xml:space="preserve">1</w:t>
            </w:r>
            <w:r>
              <w:rPr>
                <w:b w:val="0"/>
                <w:bCs w:val="0"/>
                <w:i/>
                <w:iCs/>
                <w:spacing w:val="-1"/>
                <w:sz w:val="24"/>
                <w:szCs w:val="24"/>
              </w:rPr>
              <w:t xml:space="preserve"> рабочая документация и выполнены работы по обустройству площадки для разме</w:t>
            </w:r>
            <w:r>
              <w:rPr>
                <w:b w:val="0"/>
                <w:bCs w:val="0"/>
                <w:i/>
                <w:iCs/>
                <w:spacing w:val="-1"/>
                <w:sz w:val="24"/>
                <w:szCs w:val="24"/>
              </w:rPr>
              <w:t xml:space="preserve">щения насосной станции для перекачки дождевой воды из устанавливаемого резервуара, с последующим сбросом в ливневой коллектор в районе стадиона </w:t>
              <w:br/>
              <w:t xml:space="preserve">«Динамо» на территории Владивостокского городского округа, установлен </w:t>
              <w:br/>
            </w:r>
            <w:r>
              <w:rPr>
                <w:b w:val="0"/>
                <w:bCs w:val="0"/>
                <w:i/>
                <w:iCs/>
                <w:spacing w:val="-1"/>
                <w:sz w:val="24"/>
                <w:szCs w:val="24"/>
              </w:rPr>
              <w:t xml:space="preserve">1</w:t>
            </w:r>
            <w:r>
              <w:rPr>
                <w:b w:val="0"/>
                <w:bCs w:val="0"/>
                <w:i/>
                <w:iCs/>
                <w:spacing w:val="-1"/>
                <w:sz w:val="24"/>
                <w:szCs w:val="24"/>
              </w:rPr>
              <w:t xml:space="preserve"> резервуар</w:t>
            </w:r>
            <w:r>
              <w:rPr>
                <w:bCs/>
                <w:spacing w:val="-1"/>
                <w:sz w:val="24"/>
              </w:rPr>
            </w:r>
            <w:r>
              <w:rPr>
                <w:bCs/>
                <w:spacing w:val="-1"/>
                <w:sz w:val="24"/>
              </w:rPr>
            </w:r>
          </w:p>
        </w:tc>
      </w:tr>
    </w:tbl>
    <w:p>
      <w:pPr>
        <w:pStyle w:val="755"/>
        <w:ind w:left="-142" w:right="83" w:firstLine="720"/>
        <w:jc w:val="left"/>
        <w:tabs>
          <w:tab w:val="left" w:pos="9498" w:leader="none"/>
        </w:tabs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sz w:val="28"/>
          <w:szCs w:val="28"/>
          <w:highlight w:val="none"/>
        </w:rPr>
      </w:pPr>
      <w:r/>
      <w:bookmarkStart w:id="34" w:name="_Toc33"/>
      <w:r>
        <w:rPr>
          <w:strike w:val="0"/>
          <w:sz w:val="28"/>
          <w:szCs w:val="28"/>
          <w:highlight w:val="none"/>
        </w:rPr>
        <w:t xml:space="preserve">4.2.10</w:t>
      </w:r>
      <w:r>
        <w:rPr>
          <w:strike w:val="0"/>
          <w:sz w:val="28"/>
          <w:szCs w:val="28"/>
          <w:highlight w:val="none"/>
        </w:rPr>
        <w:t xml:space="preserve">. ГРБС «Управление содержания жилищного фонда администрации города Владивостока»</w:t>
      </w:r>
      <w:r>
        <w:rPr>
          <w:strike w:val="0"/>
          <w:sz w:val="28"/>
          <w:szCs w:val="28"/>
          <w:highlight w:val="none"/>
        </w:rPr>
      </w:r>
      <w:bookmarkEnd w:id="34"/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jc w:val="both"/>
        <w:spacing w:after="0" w:line="384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Уп</w:t>
      </w:r>
      <w:r>
        <w:rPr>
          <w:strike w:val="0"/>
          <w:sz w:val="28"/>
          <w:szCs w:val="28"/>
          <w:highlight w:val="none"/>
        </w:rPr>
        <w:t xml:space="preserve">равление содержания жилищного фонда администрации города Владивостока является главным распорядителем средств бюджета </w:t>
      </w:r>
      <w:r>
        <w:rPr>
          <w:strike w:val="0"/>
          <w:sz w:val="28"/>
          <w:szCs w:val="28"/>
          <w:highlight w:val="none"/>
        </w:rPr>
        <w:t xml:space="preserve">ВГО</w:t>
      </w:r>
      <w:r>
        <w:rPr>
          <w:strike w:val="0"/>
          <w:sz w:val="28"/>
          <w:szCs w:val="28"/>
          <w:highlight w:val="none"/>
        </w:rPr>
        <w:t xml:space="preserve"> с одним подведомственным учреждением.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Информация о численности управления и подведомственного муниципального казенного учреждения в 2025</w:t>
      </w:r>
      <w:r>
        <w:rPr>
          <w:strike w:val="0"/>
          <w:sz w:val="28"/>
          <w:szCs w:val="28"/>
          <w:highlight w:val="none"/>
        </w:rPr>
        <w:t xml:space="preserve"> году представлена в следующей таблице: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4"/>
          <w:szCs w:val="24"/>
          <w:highlight w:val="none"/>
        </w:rPr>
      </w:pPr>
      <w:r>
        <w:rPr>
          <w:strike w:val="0"/>
          <w:sz w:val="24"/>
          <w:szCs w:val="24"/>
          <w:highlight w:val="none"/>
        </w:rPr>
      </w:r>
      <w:r>
        <w:rPr>
          <w:strike w:val="0"/>
          <w:sz w:val="24"/>
          <w:szCs w:val="24"/>
          <w:highlight w:val="none"/>
        </w:rPr>
      </w:r>
      <w:r>
        <w:rPr>
          <w:strike w:val="0"/>
          <w:sz w:val="24"/>
          <w:szCs w:val="24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4"/>
          <w:szCs w:val="24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человек</w:t>
      </w:r>
      <w:r>
        <w:rPr>
          <w:strike w:val="0"/>
          <w:sz w:val="24"/>
          <w:szCs w:val="24"/>
          <w:highlight w:val="none"/>
        </w:rPr>
      </w:r>
      <w:r>
        <w:rPr>
          <w:strike w:val="0"/>
          <w:sz w:val="24"/>
          <w:szCs w:val="24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02"/>
        <w:gridCol w:w="2410"/>
        <w:gridCol w:w="2233"/>
      </w:tblGrid>
      <w:tr>
        <w:tblPrEx/>
        <w:trPr>
          <w:trHeight w:val="514"/>
          <w:tblHeader/>
        </w:trPr>
        <w:tc>
          <w:tcPr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Штатная численность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Фактическая численность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Управление содержания жилищного фонда администрации города Владивостока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58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57</w:t>
            </w:r>
            <w:r>
              <w:rPr>
                <w:strike w:val="0"/>
                <w:sz w:val="24"/>
                <w:szCs w:val="24"/>
                <w:highlight w:val="none"/>
                <w:lang w:val="en-US"/>
              </w:rPr>
              <w:t xml:space="preserve">  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auto" w:fill="auto"/>
            <w:tcW w:w="5102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МКУ «Учетно-регистрационный центр Владивостока»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60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5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3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11"/>
        </w:trPr>
        <w:tc>
          <w:tcPr>
            <w:shd w:val="clear" w:color="auto" w:fill="auto"/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Всего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118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1</w:t>
            </w:r>
            <w:r>
              <w:rPr>
                <w:strike w:val="0"/>
                <w:sz w:val="24"/>
                <w:szCs w:val="24"/>
                <w:highlight w:val="none"/>
              </w:rPr>
              <w:t xml:space="preserve">10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/>
          <w:szCs w:val="28"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  <w:r>
        <w:rPr>
          <w:strike/>
          <w:szCs w:val="28"/>
          <w:highlight w:val="green"/>
        </w:rPr>
      </w:r>
    </w:p>
    <w:p>
      <w:pPr>
        <w:pStyle w:val="755"/>
        <w:ind w:left="0" w:right="83" w:firstLine="0"/>
        <w:jc w:val="center"/>
        <w:tabs>
          <w:tab w:val="left" w:pos="9498" w:leader="none"/>
        </w:tabs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в 2025</w:t>
      </w:r>
      <w:r>
        <w:rPr>
          <w:strike w:val="0"/>
          <w:szCs w:val="28"/>
          <w:highlight w:val="none"/>
        </w:rPr>
        <w:t xml:space="preserve"> году представлена в следующей таблице:</w:t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tbl>
      <w:tblPr>
        <w:tblW w:w="9780" w:type="dxa"/>
        <w:tblInd w:w="107" w:type="dxa"/>
        <w:tblLayout w:type="fixed"/>
        <w:tblLook w:val="00A0" w:firstRow="1" w:lastRow="0" w:firstColumn="1" w:lastColumn="0" w:noHBand="0" w:noVBand="0"/>
      </w:tblPr>
      <w:tblGrid>
        <w:gridCol w:w="5102"/>
        <w:gridCol w:w="2126"/>
        <w:gridCol w:w="1559"/>
        <w:gridCol w:w="992"/>
      </w:tblGrid>
      <w:tr>
        <w:tblPrEx/>
        <w:trPr>
          <w:trHeight w:val="10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Cs/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strike w:val="0"/>
                <w:color w:val="000000"/>
                <w:sz w:val="24"/>
                <w:highlight w:val="none"/>
              </w:rPr>
            </w:pPr>
            <w:r>
              <w:rPr>
                <w:bCs/>
                <w:strike w:val="0"/>
                <w:color w:val="000000"/>
                <w:sz w:val="24"/>
                <w:highlight w:val="none"/>
              </w:rPr>
              <w:t xml:space="preserve">Уточненный план, 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  <w:br/>
            </w: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Исполнено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10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  <w:suppressLineNumbers w:val="0"/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  <w:suppressLineNumbers w:val="0"/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%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1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trike w:val="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Всего, в том числе:</w:t>
            </w:r>
            <w:r>
              <w:rPr>
                <w:strike w:val="0"/>
                <w:sz w:val="24"/>
                <w:highlight w:val="none"/>
              </w:rPr>
            </w:r>
            <w:r>
              <w:rPr>
                <w:strike w:val="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  <w:lang w:eastAsia="ru-RU"/>
              </w:rPr>
              <w:t xml:space="preserve">154 113,16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trike w:val="0"/>
                <w:sz w:val="24"/>
                <w:szCs w:val="24"/>
                <w:highlight w:val="none"/>
                <w:lang w:eastAsia="ru-RU"/>
              </w:rPr>
              <w:t xml:space="preserve">153 745,79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  <w:lang w:eastAsia="ru-RU"/>
              </w:rPr>
              <w:t xml:space="preserve">99,76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/>
          </w:tcPr>
          <w:p>
            <w:pPr>
              <w:ind w:firstLine="0"/>
              <w:spacing w:line="283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209,06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83" w:lineRule="atLeast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209,06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9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textDirection w:val="lrTb"/>
            <w:noWrap/>
          </w:tcPr>
          <w:p>
            <w:pPr>
              <w:ind w:firstLine="0"/>
              <w:spacing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Оплата была произведена: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0"/>
              <w:spacing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по исполнительному листу ВС № 103898201 от 25.06.2025 пользу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Сеник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Е.Н. выплачено возмещение расходов на устранение недостатков оконных 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онструкций;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0"/>
              <w:spacing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по исполнительному листу ФС № 050830682 от 08.10.2025 в пользу Аникиной И.Л. выплачено возмещение расходов по оплате услуг представителя и эксперта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firstLine="0"/>
              <w:spacing w:line="283" w:lineRule="atLeast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на проведение судебной экспертизы с целью установления рыночной стоимости: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0"/>
              <w:spacing w:line="283" w:lineRule="atLeast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квартиры по адресу: ул.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Нефтеветка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д. 4а, кв.7 дело № 2-2720/2025 по исковому заявлению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Алиной Т.В., Алина А.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администрации г. Владивостока;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0"/>
              <w:spacing w:line="283" w:lineRule="atLeast"/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квартиры по адресу: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Нефтеветка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д. 4а, кв.8 дело № 2-3481/2025 по исковому заявлению Алина Ю.В. к администрации г. Владивостока</w:t>
            </w:r>
            <w:r>
              <w:rPr>
                <w:bCs/>
                <w:i/>
                <w:color w:val="000000"/>
                <w:sz w:val="24"/>
                <w:szCs w:val="24"/>
              </w:rPr>
            </w:r>
            <w:r>
              <w:rPr>
                <w:bCs/>
                <w:i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/>
          </w:tcPr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color w:val="000000"/>
                <w:sz w:val="24"/>
              </w:rPr>
              <w:t xml:space="preserve">Обеспечение мероприятий по эвакуации и защите населения в </w:t>
            </w:r>
            <w:r>
              <w:rPr>
                <w:color w:val="000000"/>
                <w:sz w:val="24"/>
              </w:rPr>
              <w:t xml:space="preserve">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after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12 710,54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after="0" w:line="283" w:lineRule="atLeast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12 710,54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after="0" w:line="28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4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textDirection w:val="lrTb"/>
            <w:noWrap/>
          </w:tcPr>
          <w:p>
            <w:pPr>
              <w:ind w:firstLine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 основании решения комиссии по преду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преждению и  ликвидации чрезвычайных ситуаций и обеспечению пожарной безопасности выполнены аварийно-восстановительные работы капитального характера квартир по 3 адресами и демонтаж (обрушение) опасных конструктивных элементов и аварийной части по 1 адресу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произведены и оплачены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подрядные работы по текущему ремонту квартиры № 49 жилого дома № 30 пос. Подножье (о. Русский)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6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/>
          </w:tcPr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color w:val="000000"/>
                <w:sz w:val="24"/>
              </w:rPr>
              <w:t xml:space="preserve">Прочие мероприятия в области жилищного хозяйства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16 857,88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16 856,49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99,99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textDirection w:val="lrTb"/>
            <w:noWrap/>
          </w:tcPr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Произведены и оплачены: 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подрядные работы по разработке заключения о техническом состоянии жилого дома по 13 объектам,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оценка рыночной стоимости 8 изымаемых земельных участков,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охранные услуги,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проектно-сметная документация сноса аварийного здания по адресу ул.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Бассейная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7,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демонтаж аварийного строения (надворный туалет),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работы по возведению санитарно-технического строения.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Закуплены: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материальные средства (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дымоизвещатели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количестве 31 шт.) в соответствии с решением комиссии по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ЧС от 01.08.2025 № 49-ЧС,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0" w:firstLine="0"/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материальные запасы и основные средства в соответствии с п.3 протокола совещания под руководством главы г. Владивостока от 10.04.2025 № 40-сг.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Выплачены компенсации за изымаемые жилые помещения аварийного МКД двум физическим лицам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16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/>
          </w:tcPr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color w:val="000000"/>
                <w:sz w:val="24"/>
              </w:rPr>
              <w:t xml:space="preserve">Мероприятия по предоставлению финансовой помощи администрацией города Владивостока муниципальному унитарному предприятию города Владивостока "Центральный" в целях предупреждения банкротства и восстановления платежеспособности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73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916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100,00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89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textDirection w:val="lrTb"/>
            <w:noWrap/>
          </w:tcPr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i/>
                <w:iCs/>
                <w:sz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соответствии с решениями Думы от 29.05.2025 № 630 и от 27.11.2025 №712 о предоставлении финансовой помощи администрацией города Владивостока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из бюджета Владивостокского городского округа для удовлетворения требований кредиторов предприятия в соответствии с законодательством о банкротстве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МУПВ «Центральный»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8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textDirection w:val="lrTb"/>
            <w:noWrap/>
          </w:tcPr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color w:val="000000"/>
                <w:sz w:val="24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50 419,32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50 053,34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99,27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textDirection w:val="lrTb"/>
            <w:noWrap/>
          </w:tcPr>
          <w:p>
            <w:pPr>
              <w:ind w:left="0" w:right="0" w:firstLine="0"/>
              <w:spacing w:line="283" w:lineRule="atLeast"/>
              <w:rPr>
                <w:color w:val="000000"/>
                <w:sz w:val="24"/>
              </w:rPr>
              <w:suppressLineNumbers w:val="0"/>
            </w:pPr>
            <w:r>
              <w:rPr>
                <w:i/>
                <w:iCs/>
                <w:sz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Реализация 48 проектов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инициативного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</w:tbl>
    <w:p>
      <w:pPr>
        <w:pStyle w:val="755"/>
        <w:ind w:left="-142" w:right="83" w:firstLine="720"/>
        <w:jc w:val="left"/>
        <w:tabs>
          <w:tab w:val="left" w:pos="9498" w:leader="none"/>
        </w:tabs>
        <w:rPr>
          <w:strike/>
          <w:highlight w:val="green"/>
        </w:rPr>
      </w:pPr>
      <w:r>
        <w:rPr>
          <w:strike/>
          <w:szCs w:val="28"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szCs w:val="28"/>
          <w:highlight w:val="none"/>
        </w:rPr>
      </w:pPr>
      <w:r/>
      <w:bookmarkStart w:id="35" w:name="_Toc34"/>
      <w:r>
        <w:rPr>
          <w:strike w:val="0"/>
          <w:szCs w:val="28"/>
          <w:highlight w:val="none"/>
        </w:rPr>
        <w:t xml:space="preserve">4.2.11</w:t>
      </w:r>
      <w:r>
        <w:rPr>
          <w:strike w:val="0"/>
          <w:szCs w:val="28"/>
          <w:highlight w:val="none"/>
        </w:rPr>
        <w:t xml:space="preserve">. ГРБС «Управление транспорта администрации города Владивостока»</w:t>
      </w:r>
      <w:r>
        <w:rPr>
          <w:strike w:val="0"/>
          <w:szCs w:val="28"/>
          <w:highlight w:val="none"/>
        </w:rPr>
      </w:r>
      <w:bookmarkEnd w:id="35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921"/>
        <w:ind w:right="-2"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Управление транспорта администрации города Владивостока является главным распорядителем средств бюджета </w:t>
      </w:r>
      <w:r>
        <w:rPr>
          <w:strike w:val="0"/>
          <w:sz w:val="28"/>
          <w:szCs w:val="28"/>
          <w:highlight w:val="none"/>
        </w:rPr>
        <w:t xml:space="preserve">ВГО</w:t>
      </w:r>
      <w:r>
        <w:rPr>
          <w:strike w:val="0"/>
          <w:sz w:val="28"/>
          <w:szCs w:val="28"/>
          <w:highlight w:val="none"/>
        </w:rPr>
        <w:t xml:space="preserve">. В 2025 году штатная численность составляла 15 человек, фактическая – 14 человек.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в 2025</w:t>
      </w:r>
      <w:r>
        <w:rPr>
          <w:strike w:val="0"/>
          <w:szCs w:val="28"/>
          <w:highlight w:val="none"/>
        </w:rPr>
        <w:t xml:space="preserve"> году представлена в следующей таблице:</w:t>
      </w:r>
      <w:r>
        <w:rPr>
          <w:strike/>
          <w:highlight w:val="none"/>
        </w:rPr>
      </w:r>
      <w:r>
        <w:rPr>
          <w:strike/>
          <w:highlight w:val="none"/>
        </w:rPr>
      </w:r>
    </w:p>
    <w:tbl>
      <w:tblPr>
        <w:tblW w:w="9795" w:type="dxa"/>
        <w:tblInd w:w="9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16"/>
        <w:gridCol w:w="2126"/>
        <w:gridCol w:w="1559"/>
        <w:gridCol w:w="2"/>
        <w:gridCol w:w="992"/>
      </w:tblGrid>
      <w:tr>
        <w:tblPrEx/>
        <w:trPr>
          <w:trHeight w:val="7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6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bCs/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Наименование направления расходования средств</w:t>
            </w:r>
            <w:r>
              <w:rPr>
                <w:bCs/>
                <w:color w:val="c0504d" w:themeColor="text1"/>
                <w:sz w:val="24"/>
              </w:rPr>
            </w:r>
            <w:r>
              <w:rPr>
                <w:bCs/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724"/>
              <w:ind w:left="-109" w:right="-108" w:firstLine="0"/>
              <w:jc w:val="center"/>
              <w:spacing w:line="240" w:lineRule="auto"/>
              <w:rPr>
                <w:bCs/>
                <w:color w:val="c0504d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  <w:lang w:eastAsia="zh-CN"/>
              </w:rPr>
              <w:t xml:space="preserve">Уточненный план, </w:t>
            </w:r>
            <w:r>
              <w:rPr>
                <w:bCs/>
                <w:color w:val="000000" w:themeColor="text1"/>
                <w:sz w:val="24"/>
                <w:lang w:eastAsia="zh-CN"/>
              </w:rPr>
              <w:br/>
            </w:r>
            <w:r>
              <w:rPr>
                <w:color w:val="000000" w:themeColor="text1"/>
                <w:sz w:val="24"/>
                <w:lang w:eastAsia="zh-CN"/>
              </w:rPr>
              <w:t xml:space="preserve">тыс. рублей</w:t>
            </w:r>
            <w:r>
              <w:rPr>
                <w:bCs/>
                <w:color w:val="c0504d" w:themeColor="text1"/>
                <w:sz w:val="24"/>
              </w:rPr>
            </w:r>
            <w:r>
              <w:rPr>
                <w:bCs/>
                <w:color w:val="c0504d" w:themeColor="text1"/>
                <w:sz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553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Исполнено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  <w:tr>
        <w:tblPrEx/>
        <w:trPr>
          <w:trHeight w:val="7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6" w:type="dxa"/>
            <w:vAlign w:val="center"/>
            <w:vMerge w:val="continue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</w:r>
            <w:r>
              <w:rPr>
                <w:bCs/>
                <w:sz w:val="24"/>
                <w:lang w:eastAsia="zh-CN"/>
              </w:rPr>
            </w:r>
            <w:r>
              <w:rPr>
                <w:bCs/>
                <w:sz w:val="24"/>
                <w:lang w:eastAsia="zh-CN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bCs/>
                <w:sz w:val="24"/>
                <w:lang w:eastAsia="zh-CN"/>
              </w:rPr>
            </w:pPr>
            <w:r>
              <w:rPr>
                <w:bCs/>
                <w:sz w:val="24"/>
                <w:lang w:eastAsia="zh-CN"/>
              </w:rPr>
            </w:r>
            <w:r>
              <w:rPr>
                <w:bCs/>
                <w:sz w:val="24"/>
                <w:lang w:eastAsia="zh-CN"/>
              </w:rPr>
            </w:r>
            <w:r>
              <w:rPr>
                <w:bCs/>
                <w:sz w:val="24"/>
                <w:lang w:eastAsia="zh-C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724"/>
              <w:ind w:left="-108" w:right="-108"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тыс. рублей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%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6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bCs/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Всего, в том числе:</w:t>
            </w:r>
            <w:r>
              <w:rPr>
                <w:bCs/>
                <w:color w:val="c0504d" w:themeColor="text1"/>
                <w:sz w:val="24"/>
              </w:rPr>
            </w:r>
            <w:r>
              <w:rPr>
                <w:bCs/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10 429,05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10 428,96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99,99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6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10 416,08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561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10 416,08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100,00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  <w:tr>
        <w:tblPrEx/>
        <w:trPr>
          <w:trHeight w:val="64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both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i/>
                <w:color w:val="000000" w:themeColor="text1"/>
                <w:sz w:val="24"/>
                <w:lang w:eastAsia="zh-CN"/>
              </w:rPr>
              <w:t xml:space="preserve">Уплата судебных расходов ООО «ВладАвто» на основании исполнительных листов по решению Арбитражного суда Приморского края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  <w:tr>
        <w:tblPrEx/>
        <w:trPr>
          <w:trHeight w:val="10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16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left"/>
              <w:spacing w:line="240" w:lineRule="auto"/>
              <w:rPr>
                <w:i/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Субвенции бюджетам муниципальных образований Приморского края на осуществление отдельных государственных полномочий по организации транспортного обслуживания населения внеуличным транспортом</w:t>
            </w:r>
            <w:r>
              <w:rPr>
                <w:i/>
                <w:color w:val="c0504d" w:themeColor="text1"/>
                <w:sz w:val="24"/>
              </w:rPr>
            </w:r>
            <w:r>
              <w:rPr>
                <w:i/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12,97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12,87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top"/>
            <w:textDirection w:val="lrTb"/>
            <w:noWrap w:val="false"/>
          </w:tcPr>
          <w:p>
            <w:pPr>
              <w:pStyle w:val="724"/>
              <w:ind w:left="-108" w:firstLine="0"/>
              <w:jc w:val="center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color w:val="000000" w:themeColor="text1"/>
                <w:sz w:val="24"/>
                <w:lang w:eastAsia="zh-CN"/>
              </w:rPr>
              <w:t xml:space="preserve">99,24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  <w:tr>
        <w:tblPrEx/>
        <w:trPr>
          <w:trHeight w:val="447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95" w:type="dxa"/>
            <w:vAlign w:val="top"/>
            <w:textDirection w:val="lrTb"/>
            <w:noWrap w:val="false"/>
          </w:tcPr>
          <w:p>
            <w:pPr>
              <w:pStyle w:val="724"/>
              <w:ind w:firstLine="0"/>
              <w:jc w:val="both"/>
              <w:spacing w:line="240" w:lineRule="auto"/>
              <w:rPr>
                <w:color w:val="c0504d" w:themeColor="text1"/>
                <w:sz w:val="24"/>
              </w:rPr>
            </w:pPr>
            <w:r>
              <w:rPr>
                <w:i/>
                <w:color w:val="000000" w:themeColor="text1"/>
                <w:sz w:val="24"/>
                <w:lang w:eastAsia="zh-CN"/>
              </w:rPr>
              <w:t xml:space="preserve">Оплата труда специалиста, осуществляющего отдельные государственные полномочия по организации транспортного обслуживания населения внеуличным транспортом, функции которых возложены на ОАО «Электрический транспорт»</w:t>
            </w:r>
            <w:r>
              <w:rPr>
                <w:color w:val="c0504d" w:themeColor="text1"/>
                <w:sz w:val="24"/>
              </w:rPr>
            </w:r>
            <w:r>
              <w:rPr>
                <w:color w:val="c0504d" w:themeColor="text1"/>
                <w:sz w:val="24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4"/>
        <w:ind w:right="0" w:firstLine="0"/>
        <w:jc w:val="center"/>
        <w:spacing w:line="240" w:lineRule="auto"/>
        <w:rPr>
          <w:strike w:val="0"/>
          <w:szCs w:val="28"/>
          <w:highlight w:val="none"/>
        </w:rPr>
      </w:pPr>
      <w:r/>
      <w:bookmarkStart w:id="36" w:name="_Toc35"/>
      <w:r>
        <w:rPr>
          <w:strike w:val="0"/>
          <w:szCs w:val="28"/>
          <w:highlight w:val="none"/>
        </w:rPr>
        <w:t xml:space="preserve">4.2.12</w:t>
      </w:r>
      <w:r>
        <w:rPr>
          <w:strike w:val="0"/>
          <w:szCs w:val="28"/>
          <w:highlight w:val="none"/>
        </w:rPr>
        <w:t xml:space="preserve">. ГРБС «Управление городской среды администрации города Владивостока»</w:t>
      </w:r>
      <w:r>
        <w:rPr>
          <w:strike w:val="0"/>
          <w:szCs w:val="28"/>
          <w:highlight w:val="none"/>
        </w:rPr>
      </w:r>
      <w:bookmarkEnd w:id="36"/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rPr>
          <w:strike w:val="0"/>
          <w:szCs w:val="28"/>
          <w:highlight w:val="none"/>
        </w:rPr>
      </w:pP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  <w:r>
        <w:rPr>
          <w:strike w:val="0"/>
          <w:szCs w:val="28"/>
          <w:highlight w:val="none"/>
        </w:rPr>
      </w:r>
    </w:p>
    <w:p>
      <w:pPr>
        <w:pStyle w:val="921"/>
        <w:jc w:val="both"/>
        <w:spacing w:after="0" w:line="384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Управление городской среды</w:t>
      </w:r>
      <w:r>
        <w:rPr>
          <w:strike w:val="0"/>
          <w:highlight w:val="none"/>
        </w:rPr>
        <w:t xml:space="preserve"> </w:t>
      </w:r>
      <w:r>
        <w:rPr>
          <w:strike w:val="0"/>
          <w:sz w:val="28"/>
          <w:szCs w:val="28"/>
          <w:highlight w:val="none"/>
        </w:rPr>
        <w:t xml:space="preserve">администрации города Владивостока является главным распорядителем средств бюджета </w:t>
      </w:r>
      <w:r>
        <w:rPr>
          <w:strike w:val="0"/>
          <w:sz w:val="28"/>
          <w:szCs w:val="28"/>
          <w:highlight w:val="none"/>
        </w:rPr>
        <w:t xml:space="preserve">ВГО</w:t>
      </w:r>
      <w:r>
        <w:rPr>
          <w:strike w:val="0"/>
          <w:sz w:val="28"/>
          <w:szCs w:val="28"/>
          <w:highlight w:val="none"/>
        </w:rPr>
        <w:t xml:space="preserve"> с одним подведомственным учреждением.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Информация о численности управления и подведомственного муниципального казенного учреждения в 2025</w:t>
      </w:r>
      <w:r>
        <w:rPr>
          <w:strike w:val="0"/>
          <w:sz w:val="28"/>
          <w:szCs w:val="28"/>
          <w:highlight w:val="none"/>
        </w:rPr>
        <w:t xml:space="preserve"> году представлена в следующей таблице: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8"/>
          <w:szCs w:val="28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человек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02"/>
        <w:gridCol w:w="2410"/>
        <w:gridCol w:w="2233"/>
      </w:tblGrid>
      <w:tr>
        <w:tblPrEx/>
        <w:trPr>
          <w:trHeight w:val="60"/>
          <w:tblHeader/>
        </w:trPr>
        <w:tc>
          <w:tcPr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 w:line="240" w:lineRule="auto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 w:line="240" w:lineRule="auto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Штатная численность 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 w:line="240" w:lineRule="auto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Фактическая численность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71"/>
        </w:trPr>
        <w:tc>
          <w:tcPr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 w:line="240" w:lineRule="auto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Управление  городской среды администрации города Владивостока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right="-2" w:firstLine="0"/>
              <w:jc w:val="center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33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ind w:right="-2" w:firstLine="0"/>
              <w:jc w:val="center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3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2 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 w:line="240" w:lineRule="auto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МКУ «Зеленый Владивосток»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ind w:right="-2" w:firstLine="0"/>
              <w:jc w:val="center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32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,5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233" w:type="dxa"/>
            <w:vAlign w:val="center"/>
            <w:textDirection w:val="lrTb"/>
            <w:noWrap w:val="false"/>
          </w:tcPr>
          <w:p>
            <w:pPr>
              <w:ind w:right="-2" w:firstLine="0"/>
              <w:jc w:val="center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8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auto" w:fill="auto"/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 w:line="240" w:lineRule="auto"/>
              <w:rPr>
                <w:strike w:val="0"/>
                <w:sz w:val="24"/>
                <w:szCs w:val="24"/>
                <w:highlight w:val="none"/>
              </w:rPr>
            </w:pPr>
            <w:r>
              <w:rPr>
                <w:strike w:val="0"/>
                <w:sz w:val="24"/>
                <w:szCs w:val="24"/>
                <w:highlight w:val="none"/>
              </w:rPr>
              <w:t xml:space="preserve">Всего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ind w:right="-2" w:firstLine="0"/>
              <w:jc w:val="center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35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4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,5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2233" w:type="dxa"/>
            <w:vAlign w:val="center"/>
            <w:textDirection w:val="lrTb"/>
            <w:noWrap w:val="false"/>
          </w:tcPr>
          <w:p>
            <w:pPr>
              <w:ind w:right="-2" w:firstLine="0"/>
              <w:jc w:val="center"/>
              <w:spacing w:line="240" w:lineRule="auto"/>
              <w:rPr>
                <w:strike w:val="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6</w:t>
            </w:r>
            <w:r>
              <w:rPr>
                <w:strike w:val="0"/>
                <w:color w:val="000000"/>
                <w:sz w:val="24"/>
                <w:szCs w:val="24"/>
                <w:highlight w:val="none"/>
              </w:rPr>
              <w:t xml:space="preserve">0</w:t>
            </w:r>
            <w:r>
              <w:rPr>
                <w:strike w:val="0"/>
                <w:sz w:val="24"/>
                <w:szCs w:val="24"/>
                <w:highlight w:val="none"/>
              </w:rPr>
            </w:r>
            <w:r>
              <w:rPr>
                <w:strike w:val="0"/>
                <w:sz w:val="24"/>
                <w:szCs w:val="24"/>
                <w:highlight w:val="none"/>
              </w:rPr>
            </w:r>
          </w:p>
        </w:tc>
      </w:tr>
    </w:tbl>
    <w:p>
      <w:pPr>
        <w:pStyle w:val="921"/>
        <w:jc w:val="both"/>
        <w:spacing w:after="0" w:line="384" w:lineRule="auto"/>
        <w:rPr>
          <w:strike/>
          <w:sz w:val="28"/>
          <w:szCs w:val="28"/>
          <w:highlight w:val="green"/>
        </w:rPr>
      </w:pP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  <w:r>
        <w:rPr>
          <w:strike/>
          <w:sz w:val="28"/>
          <w:szCs w:val="28"/>
          <w:highlight w:val="green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trike w:val="0"/>
          <w:highlight w:val="none"/>
        </w:rPr>
      </w:pPr>
      <w:r>
        <w:rPr>
          <w:strike w:val="0"/>
          <w:szCs w:val="28"/>
          <w:highlight w:val="none"/>
        </w:rPr>
        <w:t xml:space="preserve">Структура расходов в 2025</w:t>
      </w:r>
      <w:r>
        <w:rPr>
          <w:strike w:val="0"/>
          <w:szCs w:val="28"/>
          <w:highlight w:val="none"/>
        </w:rPr>
        <w:t xml:space="preserve"> году представлена в следующей таблице:</w:t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85"/>
        <w:gridCol w:w="1984"/>
        <w:gridCol w:w="1417"/>
        <w:gridCol w:w="994"/>
      </w:tblGrid>
      <w:tr>
        <w:tblPrEx/>
        <w:trPr>
          <w:trHeight w:val="77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38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sz w:val="24"/>
                <w:highlight w:val="none"/>
              </w:rPr>
              <w:t xml:space="preserve">Наименование направления расходования средств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strike w:val="0"/>
                <w:color w:val="000000"/>
                <w:sz w:val="24"/>
                <w:highlight w:val="none"/>
              </w:rPr>
            </w:pPr>
            <w:r>
              <w:rPr>
                <w:bCs/>
                <w:strike w:val="0"/>
                <w:color w:val="000000"/>
                <w:sz w:val="24"/>
                <w:highlight w:val="none"/>
              </w:rPr>
              <w:t xml:space="preserve">Уточненный план, 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  <w:br w:type="textWrapping" w:clear="all"/>
            </w: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  <w:r>
              <w:rPr>
                <w:bCs/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Исполнено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  <w:tr>
        <w:tblPrEx/>
        <w:trPr>
          <w:trHeight w:val="77"/>
          <w:tblHeader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тыс. рублей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trike w:val="0"/>
                <w:color w:val="000000"/>
                <w:sz w:val="24"/>
                <w:highlight w:val="none"/>
              </w:rPr>
            </w:pPr>
            <w:r>
              <w:rPr>
                <w:strike w:val="0"/>
                <w:color w:val="000000"/>
                <w:sz w:val="24"/>
                <w:highlight w:val="none"/>
              </w:rPr>
              <w:t xml:space="preserve">%</w:t>
            </w:r>
            <w:r>
              <w:rPr>
                <w:strike w:val="0"/>
                <w:color w:val="000000"/>
                <w:sz w:val="24"/>
                <w:highlight w:val="none"/>
              </w:rPr>
            </w:r>
            <w:r>
              <w:rPr>
                <w:strike w:val="0"/>
                <w:color w:val="000000"/>
                <w:sz w:val="24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W w:w="5385" w:type="dxa"/>
            <w:textDirection w:val="lrTb"/>
            <w:noWrap/>
          </w:tcPr>
          <w:p>
            <w:pPr>
              <w:contextualSpacing/>
              <w:ind w:firstLine="28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Всего, в том числе: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9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  <w:lang w:val="en-US"/>
              </w:rPr>
              <w:t xml:space="preserve">243 207</w:t>
            </w:r>
            <w:r>
              <w:rPr>
                <w:color w:val="000000"/>
                <w:sz w:val="24"/>
                <w:highlight w:val="white"/>
                <w:lang w:val="en-US"/>
              </w:rPr>
              <w:t xml:space="preserve">,</w:t>
            </w:r>
            <w:r>
              <w:rPr>
                <w:color w:val="000000"/>
                <w:sz w:val="24"/>
                <w:highlight w:val="white"/>
                <w:lang w:val="en-US"/>
              </w:rPr>
              <w:t xml:space="preserve">90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233729,91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  <w:tc>
          <w:tcPr>
            <w:tcW w:w="99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96,10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385" w:type="dxa"/>
            <w:textDirection w:val="lrTb"/>
            <w:noWrap/>
          </w:tcPr>
          <w:p>
            <w:pPr>
              <w:contextualSpacing/>
              <w:ind w:firstLine="28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9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185 937,76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185937,76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  <w:tc>
          <w:tcPr>
            <w:tcW w:w="994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100,00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gridSpan w:val="4"/>
            <w:tcW w:w="978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i/>
                <w:iCs/>
                <w:strike w:val="0"/>
                <w:color w:val="000000"/>
                <w:sz w:val="24"/>
                <w:highlight w:val="none"/>
              </w:rPr>
            </w:pPr>
            <w:r>
              <w:rPr>
                <w:i/>
                <w:iCs/>
                <w:strike w:val="0"/>
                <w:color w:val="000000"/>
                <w:sz w:val="24"/>
                <w:highlight w:val="none"/>
              </w:rPr>
              <w:t xml:space="preserve">В рамках мероприятия осуществлены следующие работы:</w:t>
            </w:r>
            <w:r>
              <w:rPr>
                <w:i/>
                <w:iCs/>
                <w:strike w:val="0"/>
                <w:color w:val="000000"/>
                <w:sz w:val="24"/>
                <w:highlight w:val="none"/>
              </w:rPr>
            </w:r>
            <w:r>
              <w:rPr>
                <w:i/>
                <w:iCs/>
                <w:strike w:val="0"/>
                <w:color w:val="000000"/>
                <w:sz w:val="24"/>
                <w:highlight w:val="none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iCs/>
                <w:strike w:val="0"/>
                <w:sz w:val="24"/>
                <w:highlight w:val="none"/>
              </w:rPr>
              <w:t xml:space="preserve">- разработка проектно-сметной документации на выполнение аварийно-восстановительных работ по ремонту кровли Океанариума;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демонтаж надстроенных элементов, расположенных по периметру покрытия кровли Океанариума;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аварийно-восстановительный ремонт кровли Океанариума.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разработка ПСД на выполнение работ аварийно-восстановительного характера по капитальному ремонту (ограждающих конструкций) здания  Океанариума;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аварийно-восстановительные работы по капитальному ремонту (инженерных сетей холодного горячего водоснабжения, системы водоотведения и установки системы нагрева воды для горячего водоснабжения, системы теплоснабжения) здания Океанариума;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аварийно-восстановительные работы по капитальному ремонту (инженерных сетей дренажа и внутриплощадочных сетей) здания Океанариума;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аварийно-восстановительные работы по капитальному ремонту (демонтажу-монтажу конструктивных элементов кровли) здания Владивостокского городского океанариума, </w:t>
            </w:r>
            <w:r>
              <w:rPr>
                <w:i/>
                <w:sz w:val="24"/>
              </w:rPr>
              <w:t xml:space="preserve">расположенного по адресу: город Владивосток, ул. </w:t>
            </w:r>
            <w:r>
              <w:rPr>
                <w:i/>
                <w:sz w:val="24"/>
              </w:rPr>
              <w:t xml:space="preserve">Батарейная</w:t>
            </w:r>
            <w:r>
              <w:rPr>
                <w:i/>
                <w:sz w:val="24"/>
              </w:rPr>
              <w:t xml:space="preserve">, д. 4;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аварийно-восстановительные работы по капитальному ремонту (ограждающих конструкций) здания Владивостокского городского океанариума, расположенного по адресу: город Владивосток, ул. </w:t>
            </w:r>
            <w:r>
              <w:rPr>
                <w:i/>
                <w:sz w:val="24"/>
              </w:rPr>
              <w:t xml:space="preserve">Батарейная</w:t>
            </w:r>
            <w:r>
              <w:rPr>
                <w:i/>
                <w:sz w:val="24"/>
              </w:rPr>
              <w:t xml:space="preserve">, д. 4; 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работы по демонтажу аварийных элементов покрытий и парапетов ограждения подпорной стены набережной зоны отдыха "Площадь Спортивная гавань";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аварийно-восстановительные работы по капитальному ремонту (несущих частей фасада) здания Владивостокского городского океанариума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tcW w:w="538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Субвенции </w:t>
            </w:r>
            <w:r>
              <w:rPr>
                <w:sz w:val="24"/>
              </w:rPr>
              <w:t xml:space="preserve">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9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52 868,13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43 481,55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W w:w="99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82,50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gridSpan w:val="4"/>
            <w:tcW w:w="9781" w:type="dxa"/>
            <w:textDirection w:val="lrTb"/>
            <w:noWrap/>
          </w:tcPr>
          <w:p>
            <w:pPr>
              <w:ind w:firstLine="0"/>
              <w:spacing w:line="240" w:lineRule="auto"/>
              <w:rPr>
                <w:i/>
                <w:sz w:val="24"/>
                <w:highlight w:val="white"/>
              </w:rPr>
            </w:pPr>
            <w:r>
              <w:rPr>
                <w:i/>
                <w:sz w:val="24"/>
                <w:highlight w:val="white"/>
              </w:rPr>
              <w:t xml:space="preserve">- отловлено 1886 особей;</w:t>
            </w:r>
            <w:r>
              <w:rPr>
                <w:i/>
                <w:sz w:val="24"/>
                <w:highlight w:val="white"/>
              </w:rPr>
            </w:r>
            <w:r>
              <w:rPr>
                <w:i/>
                <w:sz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i/>
                <w:sz w:val="24"/>
                <w:highlight w:val="white"/>
              </w:rPr>
            </w:pPr>
            <w:r>
              <w:rPr>
                <w:i/>
                <w:sz w:val="24"/>
                <w:highlight w:val="white"/>
              </w:rPr>
              <w:t xml:space="preserve">- возвращено на прежнее место обитания 1324 особи;</w:t>
            </w:r>
            <w:r>
              <w:rPr>
                <w:i/>
                <w:sz w:val="24"/>
                <w:highlight w:val="white"/>
              </w:rPr>
            </w:r>
            <w:r>
              <w:rPr>
                <w:i/>
                <w:sz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i/>
                <w:sz w:val="24"/>
                <w:highlight w:val="white"/>
              </w:rPr>
            </w:pPr>
            <w:r>
              <w:rPr>
                <w:i/>
                <w:sz w:val="24"/>
                <w:highlight w:val="white"/>
              </w:rPr>
              <w:t xml:space="preserve">- привито 1792 особи;</w:t>
            </w:r>
            <w:r>
              <w:rPr>
                <w:i/>
                <w:sz w:val="24"/>
                <w:highlight w:val="white"/>
              </w:rPr>
            </w:r>
            <w:r>
              <w:rPr>
                <w:i/>
                <w:sz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i/>
                <w:sz w:val="24"/>
                <w:highlight w:val="white"/>
              </w:rPr>
            </w:pPr>
            <w:r>
              <w:rPr>
                <w:i/>
                <w:sz w:val="24"/>
                <w:highlight w:val="white"/>
              </w:rPr>
              <w:t xml:space="preserve">- стерилизовано 1705 особей;</w:t>
            </w:r>
            <w:r>
              <w:rPr>
                <w:i/>
                <w:sz w:val="24"/>
                <w:highlight w:val="white"/>
              </w:rPr>
            </w:r>
            <w:r>
              <w:rPr>
                <w:i/>
                <w:sz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i/>
                <w:sz w:val="24"/>
                <w:highlight w:val="white"/>
              </w:rPr>
            </w:pPr>
            <w:r>
              <w:rPr>
                <w:i/>
                <w:sz w:val="24"/>
                <w:highlight w:val="white"/>
              </w:rPr>
              <w:t xml:space="preserve">- умерщвлено 140 особей.</w:t>
            </w:r>
            <w:r>
              <w:rPr>
                <w:i/>
                <w:sz w:val="24"/>
                <w:highlight w:val="white"/>
              </w:rPr>
            </w:r>
            <w:r>
              <w:rPr>
                <w:i/>
                <w:sz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highlight w:val="white"/>
              </w:rPr>
            </w:pPr>
            <w:r>
              <w:rPr>
                <w:i/>
                <w:sz w:val="24"/>
                <w:highlight w:val="white"/>
              </w:rPr>
              <w:t xml:space="preserve">Неисполнение сложилось по результатам фактически выполненных работ по обращению с животными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tcW w:w="5385" w:type="dxa"/>
            <w:textDirection w:val="lrTb"/>
            <w:noWrap/>
          </w:tcPr>
          <w:p>
            <w:pPr>
              <w:contextualSpacing/>
              <w:ind w:firstLine="28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28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highlight w:val="none"/>
              </w:rPr>
            </w:r>
            <w:r>
              <w:rPr>
                <w:i/>
                <w:sz w:val="24"/>
              </w:rPr>
              <w:t xml:space="preserve">Оплата по исполнительному листу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407,53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407,53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  <w:tc>
          <w:tcPr>
            <w:tcW w:w="99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 xml:space="preserve">100,00</w:t>
            </w:r>
            <w:r>
              <w:rPr>
                <w:color w:val="000000"/>
                <w:sz w:val="24"/>
                <w:highlight w:val="white"/>
              </w:rPr>
            </w:r>
            <w:r>
              <w:rPr>
                <w:color w:val="000000"/>
                <w:sz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shd w:val="clear" w:color="auto" w:fill="auto"/>
            <w:tcW w:w="538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2 500,00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2 499,99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100,00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gridSpan w:val="4"/>
            <w:shd w:val="clear" w:color="auto" w:fill="auto"/>
            <w:tcW w:w="978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Благоустройство пешеходной зоны к станции Спутник «Аллея сиреневых грез» по </w:t>
              <w:br/>
              <w:t xml:space="preserve">ул. Зеленая, 62А.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tcW w:w="538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Субвенции бюджетам муниц</w:t>
            </w:r>
            <w:r>
              <w:rPr>
                <w:sz w:val="24"/>
              </w:rPr>
              <w:t xml:space="preserve">ипальных образований Приморского края на осуществление </w:t>
            </w:r>
            <w:r>
              <w:rPr>
                <w:sz w:val="24"/>
              </w:rPr>
              <w:t xml:space="preserve">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sz w:val="24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</w:t>
            </w:r>
            <w:r>
              <w:rPr>
                <w:sz w:val="24"/>
              </w:rPr>
              <w:t xml:space="preserve"> перечню услуг по погребению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9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1 494,48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4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1 403,08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93,88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/>
        </w:trPr>
        <w:tc>
          <w:tcPr>
            <w:gridSpan w:val="4"/>
            <w:shd w:val="clear" w:color="auto" w:fill="auto"/>
            <w:tcW w:w="978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i/>
                <w:iCs/>
                <w:sz w:val="24"/>
                <w:szCs w:val="24"/>
                <w:highlight w:val="yellow"/>
              </w:rPr>
            </w:pPr>
            <w:r>
              <w:rPr>
                <w:i/>
                <w:sz w:val="24"/>
              </w:rPr>
              <w:t xml:space="preserve">Неисполнение сложилось в результате фактически предъявленных заявок</w:t>
            </w:r>
            <w:r>
              <w:rPr>
                <w:i/>
                <w:sz w:val="24"/>
                <w:highlight w:val="white"/>
              </w:rPr>
              <w:t xml:space="preserve"> </w:t>
            </w:r>
            <w:r>
              <w:rPr>
                <w:i/>
                <w:sz w:val="24"/>
                <w:highlight w:val="white"/>
              </w:rPr>
              <w:t xml:space="preserve">на</w:t>
            </w:r>
            <w:r>
              <w:rPr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захоронение</w:t>
            </w:r>
            <w:r>
              <w:rPr>
                <w:i/>
                <w:iCs/>
                <w:sz w:val="24"/>
                <w:szCs w:val="24"/>
                <w:highlight w:val="yellow"/>
              </w:rPr>
            </w:r>
            <w:r>
              <w:rPr>
                <w:i/>
                <w:iCs/>
                <w:sz w:val="24"/>
                <w:szCs w:val="24"/>
                <w:highlight w:val="yellow"/>
              </w:rPr>
            </w:r>
          </w:p>
        </w:tc>
      </w:tr>
    </w:tbl>
    <w:p>
      <w:pPr>
        <w:pStyle w:val="734"/>
        <w:ind w:firstLine="0"/>
        <w:jc w:val="center"/>
        <w:spacing w:line="240" w:lineRule="auto"/>
        <w:rPr>
          <w:strike/>
          <w:highlight w:val="green"/>
        </w:rPr>
      </w:pPr>
      <w:r>
        <w:rPr>
          <w:strike/>
          <w:highlight w:val="green"/>
        </w:rPr>
      </w:r>
      <w:r>
        <w:rPr>
          <w:strike/>
          <w:highlight w:val="green"/>
        </w:rPr>
      </w:r>
      <w:r>
        <w:rPr>
          <w:strike/>
          <w:highlight w:val="green"/>
        </w:rPr>
      </w:r>
    </w:p>
    <w:p>
      <w:pPr>
        <w:pStyle w:val="734"/>
        <w:ind w:firstLine="0"/>
        <w:jc w:val="center"/>
        <w:spacing w:line="240" w:lineRule="auto"/>
        <w:rPr>
          <w:strike w:val="0"/>
          <w:highlight w:val="none"/>
        </w:rPr>
      </w:pPr>
      <w:r/>
      <w:bookmarkStart w:id="37" w:name="_Toc36"/>
      <w:r>
        <w:rPr>
          <w:strike w:val="0"/>
          <w:highlight w:val="none"/>
        </w:rPr>
        <w:t xml:space="preserve">4.2.13</w:t>
      </w:r>
      <w:r>
        <w:rPr>
          <w:strike w:val="0"/>
          <w:highlight w:val="none"/>
        </w:rPr>
        <w:t xml:space="preserve">. ГРБС «</w:t>
      </w:r>
      <w:r>
        <w:rPr>
          <w:szCs w:val="28"/>
        </w:rPr>
        <w:t xml:space="preserve">Управление архитектуры и строительства объектов Владивостокского городского округа администрации города Владивостока</w:t>
      </w:r>
      <w:r>
        <w:rPr>
          <w:szCs w:val="28"/>
        </w:rPr>
        <w:t xml:space="preserve">»</w:t>
      </w:r>
      <w:r>
        <w:rPr>
          <w:strike w:val="0"/>
          <w:highlight w:val="none"/>
        </w:rPr>
      </w:r>
      <w:bookmarkEnd w:id="37"/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r/>
      <w:r/>
    </w:p>
    <w:p>
      <w:pPr>
        <w:pStyle w:val="921"/>
        <w:jc w:val="both"/>
        <w:spacing w:after="0" w:line="384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Управление </w:t>
      </w:r>
      <w:r>
        <w:rPr>
          <w:strike w:val="0"/>
          <w:sz w:val="28"/>
          <w:szCs w:val="28"/>
          <w:highlight w:val="none"/>
        </w:rPr>
        <w:t xml:space="preserve">архитектуры и строительства объектов Владивостокского городского округа администрации города Владивостока</w:t>
      </w:r>
      <w:r>
        <w:rPr>
          <w:strike w:val="0"/>
          <w:sz w:val="28"/>
          <w:szCs w:val="28"/>
          <w:highlight w:val="none"/>
        </w:rPr>
        <w:t xml:space="preserve"> является г</w:t>
      </w:r>
      <w:r>
        <w:rPr>
          <w:strike w:val="0"/>
          <w:sz w:val="28"/>
          <w:szCs w:val="28"/>
          <w:highlight w:val="none"/>
        </w:rPr>
        <w:t xml:space="preserve">лавным распорядителем средств бюджета </w:t>
      </w:r>
      <w:r>
        <w:rPr>
          <w:strike w:val="0"/>
          <w:sz w:val="28"/>
          <w:szCs w:val="28"/>
          <w:highlight w:val="none"/>
        </w:rPr>
        <w:t xml:space="preserve">ВГО</w:t>
      </w:r>
      <w:r>
        <w:rPr>
          <w:strike w:val="0"/>
          <w:sz w:val="28"/>
          <w:szCs w:val="28"/>
          <w:highlight w:val="none"/>
        </w:rPr>
        <w:t xml:space="preserve"> с одним подведомственным учреждением.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  <w:t xml:space="preserve">Информация о численности управления и подведомственного муниципального казенного учреждения в 202</w:t>
      </w:r>
      <w:r>
        <w:rPr>
          <w:strike w:val="0"/>
          <w:sz w:val="28"/>
          <w:szCs w:val="28"/>
          <w:highlight w:val="none"/>
        </w:rPr>
        <w:t xml:space="preserve">5</w:t>
      </w:r>
      <w:r>
        <w:rPr>
          <w:strike w:val="0"/>
          <w:sz w:val="28"/>
          <w:szCs w:val="28"/>
          <w:highlight w:val="none"/>
        </w:rPr>
        <w:t xml:space="preserve"> году представлена в следующей таблице: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8"/>
          <w:szCs w:val="28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</w:t>
      </w:r>
      <w:r>
        <w:rPr>
          <w:strike w:val="0"/>
          <w:sz w:val="24"/>
          <w:szCs w:val="24"/>
          <w:highlight w:val="none"/>
        </w:rPr>
        <w:t xml:space="preserve">еловек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02"/>
        <w:gridCol w:w="2410"/>
        <w:gridCol w:w="2233"/>
      </w:tblGrid>
      <w:tr>
        <w:tblPrEx/>
        <w:trPr>
          <w:trHeight w:val="60"/>
          <w:tblHeader/>
        </w:trPr>
        <w:tc>
          <w:tcPr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Штатная численность </w:t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Фактическая численность</w:t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71"/>
        </w:trPr>
        <w:tc>
          <w:tcPr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Управление </w:t>
            </w: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архитектуры и строительства объектов Владивостокского городского округа</w:t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color w:val="000000" w:themeColor="text1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22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W w:w="22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color w:val="000000" w:themeColor="text1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16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ffffff" w:fill="ffffff"/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МКУ «Д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ирекция капитального строительства Владивостокского городского округа</w:t>
            </w:r>
            <w:r>
              <w:rPr>
                <w:rFonts w:ascii="Times New Roman" w:hAnsi="Times New Roman" w:eastAsia="Times New Roman" w:cs="Times New Roman"/>
                <w:strike w:val="0"/>
                <w:color w:val="000000"/>
                <w:sz w:val="24"/>
                <w:szCs w:val="24"/>
                <w:highlight w:val="none"/>
              </w:rPr>
              <w:t xml:space="preserve">»</w:t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1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46</w:t>
            </w:r>
            <w:r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2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Times New Roman" w:hAnsi="Times New Roman" w:cs="Times New Roman"/>
                <w:color w:val="000000" w:themeColor="text1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38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</w:tr>
      <w:tr>
        <w:tblPrEx/>
        <w:trPr>
          <w:trHeight w:val="60"/>
        </w:trPr>
        <w:tc>
          <w:tcPr>
            <w:shd w:val="clear" w:color="ffffff" w:fill="ffffff"/>
            <w:tcW w:w="5102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trike w:val="0"/>
                <w:sz w:val="24"/>
                <w:szCs w:val="24"/>
                <w:highlight w:val="none"/>
              </w:rPr>
              <w:t xml:space="preserve">Всего</w:t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10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85" w:lineRule="atLeast"/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68</w:t>
            </w:r>
            <w:r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23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85" w:lineRule="atLeast"/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  <w:t xml:space="preserve">54</w:t>
            </w:r>
            <w:r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trike w:val="0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r/>
      <w:r/>
    </w:p>
    <w:p>
      <w:pPr>
        <w:ind w:left="-142" w:right="83" w:firstLine="720"/>
        <w:tabs>
          <w:tab w:val="left" w:pos="9498" w:leader="none"/>
        </w:tabs>
        <w:rPr>
          <w:szCs w:val="20"/>
        </w:rPr>
      </w:pPr>
      <w:r>
        <w:rPr>
          <w:szCs w:val="28"/>
        </w:rPr>
        <w:t xml:space="preserve">Структура расходов в 202</w:t>
      </w:r>
      <w:r>
        <w:rPr>
          <w:szCs w:val="28"/>
        </w:rPr>
        <w:t xml:space="preserve">5</w:t>
      </w:r>
      <w:r>
        <w:rPr>
          <w:szCs w:val="28"/>
        </w:rPr>
        <w:t xml:space="preserve"> году представлена в следующей таблице:</w:t>
      </w:r>
      <w:r>
        <w:rPr>
          <w:szCs w:val="20"/>
        </w:rPr>
      </w:r>
      <w:r>
        <w:rPr>
          <w:szCs w:val="20"/>
        </w:rPr>
      </w: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85"/>
        <w:gridCol w:w="1984"/>
        <w:gridCol w:w="1417"/>
        <w:gridCol w:w="994"/>
      </w:tblGrid>
      <w:tr>
        <w:tblPrEx/>
        <w:trPr>
          <w:trHeight w:val="7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sz w:val="24"/>
              </w:rPr>
              <w:t xml:space="preserve">Наименование направления расходования средств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Уточненный план, </w:t>
            </w:r>
            <w:r>
              <w:rPr>
                <w:bCs/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Исполнено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  <w:r>
              <w:rPr>
                <w:bCs/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тыс. рублей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%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textDirection w:val="lrTb"/>
            <w:noWrap/>
          </w:tcPr>
          <w:p>
            <w:pPr>
              <w:contextualSpacing/>
              <w:ind w:firstLine="28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Всего, в том числе: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182 538,63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182 538,63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textDirection w:val="lrTb"/>
            <w:noWrap/>
          </w:tcPr>
          <w:p>
            <w:pPr>
              <w:contextualSpacing/>
              <w:ind w:firstLine="28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Мероприятия </w:t>
            </w:r>
            <w:r>
              <w:rPr>
                <w:sz w:val="24"/>
              </w:rPr>
              <w:t xml:space="preserve">согласно</w:t>
            </w:r>
            <w:r>
              <w:rPr>
                <w:sz w:val="24"/>
              </w:rPr>
              <w:t xml:space="preserve"> принятых решений комиссией по предупреждению и ликвидации чрезвычайных ситуаций и обеспечению пожарной безопасности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9 732,14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9 732,14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100,00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В рамках мероприятия </w:t>
            </w:r>
            <w:r>
              <w:rPr>
                <w:i/>
                <w:color w:val="000000"/>
                <w:sz w:val="24"/>
              </w:rPr>
              <w:t xml:space="preserve">выполнен демонтаж аварийных элементов конструкции пирса № 1, протяженностью 68 м, находящегося в границах муниципального земельного участка площадью 496 кв. м</w:t>
            </w:r>
            <w:r>
              <w:rPr>
                <w:i/>
                <w:color w:val="000000"/>
                <w:sz w:val="24"/>
              </w:rPr>
              <w:t xml:space="preserve">, расположенного в районе </w:t>
            </w:r>
            <w:r>
              <w:rPr>
                <w:i/>
                <w:color w:val="000000"/>
                <w:sz w:val="24"/>
              </w:rPr>
              <w:t xml:space="preserve">ул. </w:t>
            </w:r>
            <w:r>
              <w:rPr>
                <w:i/>
                <w:color w:val="000000"/>
                <w:sz w:val="24"/>
              </w:rPr>
              <w:t xml:space="preserve">Батарейная</w:t>
            </w:r>
            <w:r>
              <w:rPr>
                <w:i/>
                <w:color w:val="000000"/>
                <w:sz w:val="24"/>
              </w:rPr>
              <w:t xml:space="preserve">, 2 в г. Владивостоке</w:t>
            </w:r>
            <w:r>
              <w:rPr>
                <w:i/>
                <w:color w:val="000000"/>
                <w:sz w:val="24"/>
              </w:rPr>
            </w:r>
            <w:r>
              <w:rPr>
                <w:i/>
                <w:color w:val="000000"/>
                <w:sz w:val="24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5" w:type="dxa"/>
            <w:textDirection w:val="lrTb"/>
            <w:noWrap/>
          </w:tcPr>
          <w:p>
            <w:pPr>
              <w:contextualSpacing/>
              <w:ind w:firstLine="28"/>
              <w:jc w:val="lef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Субвенции на о</w:t>
            </w:r>
            <w:r>
              <w:rPr>
                <w:sz w:val="24"/>
              </w:rPr>
              <w:t xml:space="preserve">беспечение жилыми помещениями детей-сирот и детей, оставшихся без попечения родителей, лиц из их числа за счет сре</w:t>
            </w:r>
            <w:r>
              <w:rPr>
                <w:sz w:val="24"/>
              </w:rPr>
              <w:t xml:space="preserve">дств кр</w:t>
            </w:r>
            <w:r>
              <w:rPr>
                <w:sz w:val="24"/>
              </w:rPr>
              <w:t xml:space="preserve">аевого бюджета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172 806,49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172 806,49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100,00</w: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</w:r>
          </w:p>
        </w:tc>
      </w:tr>
      <w:tr>
        <w:tblPrEx/>
        <w:trPr>
          <w:trHeight w:val="22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средства направлены на строительство 123</w:t>
            </w:r>
            <w:r>
              <w:rPr>
                <w:i/>
                <w:color w:val="000000"/>
                <w:sz w:val="24"/>
              </w:rPr>
              <w:t xml:space="preserve">-х квартир </w:t>
            </w:r>
            <w:r>
              <w:rPr>
                <w:i/>
                <w:color w:val="000000"/>
                <w:sz w:val="24"/>
              </w:rPr>
              <w:t xml:space="preserve">в доме по ул. Русская, 57 для детей сирот</w:t>
            </w:r>
            <w:r>
              <w:rPr>
                <w:i/>
                <w:color w:val="000000"/>
                <w:sz w:val="24"/>
              </w:rPr>
            </w:r>
            <w:r>
              <w:rPr>
                <w:i/>
                <w:color w:val="000000"/>
                <w:sz w:val="24"/>
              </w:rPr>
            </w:r>
          </w:p>
        </w:tc>
      </w:tr>
    </w:tbl>
    <w:p>
      <w:pPr>
        <w:pStyle w:val="734"/>
        <w:ind w:firstLine="0"/>
        <w:jc w:val="center"/>
        <w:spacing w:line="240" w:lineRule="auto"/>
        <w:rPr>
          <w:strike w:val="0"/>
          <w:highlight w:val="none"/>
        </w:rPr>
      </w:pPr>
      <w:r>
        <w:rPr>
          <w:strike w:val="0"/>
          <w:highlight w:val="none"/>
        </w:rPr>
      </w:r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734"/>
        <w:ind w:firstLine="0"/>
        <w:jc w:val="center"/>
        <w:spacing w:line="240" w:lineRule="auto"/>
        <w:rPr>
          <w:strike w:val="0"/>
          <w:highlight w:val="none"/>
        </w:rPr>
      </w:pPr>
      <w:r/>
      <w:bookmarkStart w:id="38" w:name="_Toc37"/>
      <w:r>
        <w:rPr>
          <w:strike w:val="0"/>
          <w:highlight w:val="none"/>
        </w:rPr>
        <w:t xml:space="preserve">4.2.14 ГРБС «Управление по работе с муниципальными учреждениями образования администрации города Владивостока»</w:t>
      </w:r>
      <w:r>
        <w:rPr>
          <w:strike w:val="0"/>
          <w:highlight w:val="none"/>
        </w:rPr>
      </w:r>
      <w:bookmarkEnd w:id="38"/>
      <w:r>
        <w:rPr>
          <w:strike w:val="0"/>
          <w:highlight w:val="none"/>
        </w:rPr>
      </w:r>
      <w:r>
        <w:rPr>
          <w:strike w:val="0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trike w:val="0"/>
          <w:sz w:val="28"/>
          <w:szCs w:val="28"/>
          <w:highlight w:val="none"/>
        </w:rPr>
      </w:pP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ind w:right="-2"/>
        <w:jc w:val="both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Управление по работе с муниципальными учреждениями образования администрации города Владивостока является главным распорядителем средств бюджета ВГО с одним подведомственным учреждением.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1"/>
        <w:contextualSpacing/>
        <w:jc w:val="both"/>
        <w:spacing w:after="0" w:line="336" w:lineRule="auto"/>
        <w:rPr>
          <w:strike w:val="0"/>
          <w:sz w:val="28"/>
          <w:szCs w:val="28"/>
          <w:highlight w:val="none"/>
        </w:rPr>
      </w:pPr>
      <w:r>
        <w:rPr>
          <w:sz w:val="28"/>
          <w:szCs w:val="28"/>
        </w:rPr>
        <w:t xml:space="preserve">Информация о численности управления и подведомственного муниципального казенного учреждения в 2025 году представлена в следующей таблице</w:t>
      </w:r>
      <w:r>
        <w:rPr>
          <w:strike w:val="0"/>
          <w:sz w:val="28"/>
          <w:szCs w:val="28"/>
          <w:highlight w:val="none"/>
        </w:rPr>
        <w:t xml:space="preserve">: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p>
      <w:pPr>
        <w:pStyle w:val="921"/>
        <w:contextualSpacing/>
        <w:jc w:val="right"/>
        <w:spacing w:after="0"/>
        <w:rPr>
          <w:strike w:val="0"/>
          <w:sz w:val="28"/>
          <w:szCs w:val="28"/>
          <w:highlight w:val="none"/>
        </w:rPr>
      </w:pPr>
      <w:r>
        <w:rPr>
          <w:strike w:val="0"/>
          <w:sz w:val="24"/>
          <w:szCs w:val="24"/>
          <w:highlight w:val="none"/>
        </w:rPr>
        <w:t xml:space="preserve">человек</w:t>
      </w:r>
      <w:r>
        <w:rPr>
          <w:strike w:val="0"/>
          <w:sz w:val="28"/>
          <w:szCs w:val="28"/>
          <w:highlight w:val="none"/>
        </w:rPr>
      </w:r>
      <w:r>
        <w:rPr>
          <w:strike w:val="0"/>
          <w:sz w:val="28"/>
          <w:szCs w:val="28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956"/>
        <w:gridCol w:w="1669"/>
        <w:gridCol w:w="2120"/>
      </w:tblGrid>
      <w:tr>
        <w:tblPrEx/>
        <w:trPr>
          <w:tblHeader/>
        </w:trPr>
        <w:tc>
          <w:tcPr>
            <w:tcW w:w="6521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96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Штатная численность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28" w:type="dxa"/>
            <w:vAlign w:val="center"/>
            <w:textDirection w:val="lrTb"/>
            <w:noWrap w:val="false"/>
          </w:tcPr>
          <w:p>
            <w:pPr>
              <w:pStyle w:val="921"/>
              <w:ind w:right="-2" w:firstLine="0"/>
              <w:jc w:val="center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</w:t>
            </w:r>
            <w:r>
              <w:rPr>
                <w:sz w:val="24"/>
                <w:szCs w:val="24"/>
              </w:rPr>
              <w:t xml:space="preserve"> (среднесписочная)</w:t>
            </w:r>
            <w:r>
              <w:rPr>
                <w:sz w:val="24"/>
                <w:szCs w:val="24"/>
              </w:rPr>
              <w:t xml:space="preserve"> численность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25"/>
        </w:trPr>
        <w:tc>
          <w:tcPr>
            <w:tcW w:w="6521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Управление по работе с муниципальными учреждениями образования администрации города Владивостока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tcW w:w="169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48,00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52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41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95"/>
        </w:trPr>
        <w:tc>
          <w:tcPr>
            <w:shd w:val="clear" w:color="ffffff" w:fill="ffffff"/>
            <w:tcW w:w="6521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МКУ «Централизованная бухгалтерия муниципальных образовательных учреждений г. Владивостока»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shd w:val="clear" w:color="ffffff" w:fill="ffffff"/>
            <w:tcW w:w="169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248,25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ffffff" w:fill="ffffff"/>
            <w:tcW w:w="152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196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0"/>
        </w:trPr>
        <w:tc>
          <w:tcPr>
            <w:shd w:val="clear" w:color="ffffff" w:fill="ffffff"/>
            <w:tcW w:w="6521" w:type="dxa"/>
            <w:textDirection w:val="lrTb"/>
            <w:noWrap w:val="false"/>
          </w:tcPr>
          <w:p>
            <w:pPr>
              <w:pStyle w:val="921"/>
              <w:ind w:right="-2" w:firstLine="0"/>
              <w:spacing w:after="0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Всего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shd w:val="clear" w:color="ffffff" w:fill="ffffff"/>
            <w:tcW w:w="1696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296,25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ffffff" w:fill="ffffff"/>
            <w:tcW w:w="152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237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color w:val="0070c0" w:themeColor="text1"/>
          <w:szCs w:val="28"/>
        </w:rPr>
      </w:pPr>
      <w:r>
        <w:rPr>
          <w:color w:val="000000" w:themeColor="text1"/>
          <w:szCs w:val="28"/>
        </w:rPr>
      </w:r>
      <w:r>
        <w:rPr>
          <w:color w:val="0070c0" w:themeColor="text1"/>
          <w:szCs w:val="28"/>
        </w:rPr>
      </w:r>
      <w:r>
        <w:rPr>
          <w:color w:val="0070c0" w:themeColor="text1"/>
          <w:szCs w:val="28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zCs w:val="28"/>
        </w:rPr>
      </w:pPr>
      <w:r>
        <w:rPr>
          <w:szCs w:val="28"/>
        </w:rPr>
        <w:t xml:space="preserve">Структура расходов в 2025 году представлена в следующей таблице:</w:t>
      </w:r>
      <w:r>
        <w:rPr>
          <w:szCs w:val="28"/>
        </w:rPr>
      </w:r>
      <w:r>
        <w:rPr>
          <w:szCs w:val="28"/>
        </w:rPr>
      </w: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529"/>
        <w:gridCol w:w="1984"/>
        <w:gridCol w:w="1418"/>
        <w:gridCol w:w="850"/>
      </w:tblGrid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Наименование направления расходования средств</w:t>
            </w:r>
            <w:r>
              <w:rPr>
                <w:bCs/>
                <w:sz w:val="24"/>
                <w:highlight w:val="white"/>
              </w:rPr>
            </w:r>
            <w:r>
              <w:rPr>
                <w:bCs/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sz w:val="24"/>
                <w:highlight w:val="white"/>
              </w:rPr>
            </w:pPr>
            <w:r>
              <w:rPr>
                <w:bCs/>
                <w:sz w:val="24"/>
                <w:highlight w:val="white"/>
              </w:rPr>
              <w:t xml:space="preserve">Уточненный план, </w:t>
            </w:r>
            <w:r>
              <w:rPr>
                <w:bCs/>
                <w:sz w:val="24"/>
                <w:highlight w:val="white"/>
              </w:rPr>
              <w:br/>
            </w:r>
            <w:r>
              <w:rPr>
                <w:sz w:val="24"/>
                <w:highlight w:val="white"/>
              </w:rPr>
              <w:t xml:space="preserve">тыс. рублей</w:t>
            </w:r>
            <w:r>
              <w:rPr>
                <w:bCs/>
                <w:sz w:val="24"/>
                <w:highlight w:val="white"/>
              </w:rPr>
            </w:r>
            <w:r>
              <w:rPr>
                <w:bCs/>
                <w:sz w:val="24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Исполнено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</w:tr>
      <w:tr>
        <w:tblPrEx/>
        <w:trPr>
          <w:trHeight w:val="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9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ind w:left="-109" w:right="-108" w:firstLine="0"/>
              <w:jc w:val="center"/>
              <w:spacing w:line="240" w:lineRule="auto"/>
              <w:rPr>
                <w:bCs/>
                <w:sz w:val="24"/>
              </w:rPr>
            </w:pP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тыс. рублей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%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9" w:type="dxa"/>
            <w:textDirection w:val="lrTb"/>
            <w:noWrap w:val="false"/>
          </w:tcPr>
          <w:p>
            <w:pPr>
              <w:contextualSpacing/>
              <w:ind w:firstLine="28"/>
              <w:spacing w:line="240" w:lineRule="auto"/>
              <w:rPr>
                <w:sz w:val="25"/>
                <w:szCs w:val="25"/>
                <w:highlight w:val="white"/>
              </w:rPr>
            </w:pPr>
            <w:r>
              <w:rPr>
                <w:sz w:val="25"/>
                <w:szCs w:val="25"/>
                <w:highlight w:val="white"/>
              </w:rPr>
              <w:t xml:space="preserve">Всего, в том числе: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37 670,03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35 810,29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95,06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9" w:type="dxa"/>
            <w:textDirection w:val="lrTb"/>
            <w:noWrap w:val="false"/>
          </w:tcPr>
          <w:p>
            <w:pPr>
              <w:contextualSpacing/>
              <w:ind w:firstLine="28"/>
              <w:jc w:val="left"/>
              <w:spacing w:line="240" w:lineRule="auto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 xml:space="preserve">Проведение иных мероприятий по решению вопросов местного значения, на осуществление которых не предусмотрены расходы в бюджете Владивостокского городского округа</w:t>
            </w:r>
            <w:r>
              <w:rPr>
                <w:sz w:val="23"/>
                <w:szCs w:val="23"/>
                <w:highlight w:val="yellow"/>
              </w:rPr>
            </w: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36 412,09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34 656,79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</w:t>
            </w: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,18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1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left"/>
              <w:spacing w:line="240" w:lineRule="auto"/>
              <w:rPr>
                <w:color w:val="0070c0"/>
                <w:sz w:val="23"/>
                <w:szCs w:val="23"/>
                <w:highlight w:val="yellow"/>
              </w:rPr>
            </w:pPr>
            <w:r>
              <w:rPr>
                <w:i/>
                <w:sz w:val="24"/>
              </w:rPr>
              <w:t xml:space="preserve">В рамках данных мероприятий</w:t>
            </w:r>
            <w:r>
              <w:rPr>
                <w:i/>
                <w:sz w:val="24"/>
              </w:rPr>
              <w:t xml:space="preserve"> проведены </w:t>
            </w:r>
            <w:r>
              <w:rPr>
                <w:i/>
                <w:sz w:val="24"/>
              </w:rPr>
              <w:t xml:space="preserve">аварийно-восстановительны</w:t>
            </w:r>
            <w:r>
              <w:rPr>
                <w:i/>
                <w:sz w:val="24"/>
              </w:rPr>
              <w:t xml:space="preserve">е</w:t>
            </w:r>
            <w:r>
              <w:rPr>
                <w:i/>
                <w:sz w:val="24"/>
              </w:rPr>
              <w:t xml:space="preserve"> работ</w:t>
            </w:r>
            <w:r>
              <w:rPr>
                <w:i/>
                <w:sz w:val="24"/>
              </w:rPr>
              <w:t xml:space="preserve">ы</w:t>
            </w:r>
            <w:r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внутренних помещений пищеблока в здании МБОУ «СОШ № 77» и закупка нового оборудования для обеспечения горячим питанием обучающихся МБОУ «СОШ № 77»</w:t>
            </w:r>
            <w:r>
              <w:rPr>
                <w:i/>
                <w:sz w:val="24"/>
              </w:rPr>
              <w:t xml:space="preserve">; по укреплению конструкций части аварийной стены здания МБОУ «СОШ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№ 72»</w:t>
            </w:r>
            <w:r>
              <w:rPr>
                <w:i/>
                <w:sz w:val="24"/>
              </w:rPr>
              <w:t xml:space="preserve">, </w:t>
            </w:r>
            <w:r>
              <w:rPr>
                <w:i/>
                <w:sz w:val="24"/>
              </w:rPr>
              <w:t xml:space="preserve">по установке ограждения и видеонаблюдения по периметру территории бассейна МБОУ «СОШ № 72», по установке защитных обрешеток на окна первого этажа здания МБОУ «СОШ № 72» со стороны здания бассейна;</w:t>
            </w:r>
            <w:r>
              <w:rPr>
                <w:i/>
                <w:sz w:val="24"/>
              </w:rPr>
              <w:t xml:space="preserve">  </w:t>
            </w:r>
            <w:r>
              <w:rPr>
                <w:i/>
                <w:sz w:val="24"/>
              </w:rPr>
              <w:t xml:space="preserve">помещения актового зала в здании </w:t>
            </w:r>
            <w:r>
              <w:rPr>
                <w:i/>
                <w:sz w:val="24"/>
              </w:rPr>
              <w:t xml:space="preserve">МБОУ «СОШ №</w:t>
            </w:r>
            <w:r>
              <w:rPr>
                <w:i/>
                <w:sz w:val="24"/>
              </w:rPr>
              <w:t xml:space="preserve"> 9»; п</w:t>
            </w:r>
            <w:r>
              <w:rPr>
                <w:i/>
                <w:sz w:val="24"/>
              </w:rPr>
              <w:t xml:space="preserve">о ремонту балкона театрального корпуса в здании </w:t>
            </w:r>
            <w:r>
              <w:rPr>
                <w:i/>
                <w:sz w:val="24"/>
              </w:rPr>
              <w:t xml:space="preserve">МАУ ДО «ВГ ДДТ»</w:t>
            </w:r>
            <w:r>
              <w:rPr>
                <w:color w:val="0070c0"/>
                <w:sz w:val="23"/>
                <w:szCs w:val="23"/>
                <w:highlight w:val="yellow"/>
              </w:rPr>
            </w:r>
            <w:r>
              <w:rPr>
                <w:color w:val="0070c0"/>
                <w:sz w:val="23"/>
                <w:szCs w:val="23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1 257,94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1 153,50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91,70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получатель субсидии - АНОО «Православная гимназия»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</w:tr>
    </w:tbl>
    <w:p>
      <w:pPr>
        <w:pStyle w:val="755"/>
        <w:ind w:left="-142" w:right="83" w:firstLine="720"/>
        <w:jc w:val="both"/>
        <w:tabs>
          <w:tab w:val="left" w:pos="9498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755"/>
        <w:ind w:left="-142" w:right="83" w:firstLine="720"/>
        <w:jc w:val="both"/>
        <w:tabs>
          <w:tab w:val="left" w:pos="9498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913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администрации                                 С.М. Дмитриенко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417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sz w:val="24"/>
      </w:rPr>
      <w:t xml:space="preserve">89</w:t>
    </w:r>
    <w:r>
      <w:rPr>
        <w:sz w:val="24"/>
      </w:rPr>
      <w:fldChar w:fldCharType="end"/>
    </w:r>
    <w:r>
      <w:rPr>
        <w:sz w:val="24"/>
      </w:rPr>
    </w:r>
    <w:r>
      <w:rPr>
        <w:sz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2355" w:hanging="360"/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307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5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0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6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32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6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7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7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22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7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6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2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4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6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3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2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49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2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7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22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7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7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22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7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10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4" w:default="1">
    <w:name w:val="Normal"/>
    <w:qFormat/>
    <w:pPr>
      <w:ind w:firstLine="709"/>
      <w:jc w:val="both"/>
      <w:spacing w:line="360" w:lineRule="auto"/>
    </w:pPr>
    <w:rPr>
      <w:rFonts w:ascii="Times New Roman" w:hAnsi="Times New Roman" w:eastAsia="Times New Roman"/>
      <w:sz w:val="28"/>
      <w:szCs w:val="24"/>
      <w:lang w:eastAsia="ru-RU"/>
    </w:r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character" w:styleId="728" w:customStyle="1">
    <w:name w:val="Quote Char"/>
    <w:link w:val="759"/>
    <w:uiPriority w:val="29"/>
    <w:rPr>
      <w:i/>
    </w:rPr>
  </w:style>
  <w:style w:type="character" w:styleId="729" w:customStyle="1">
    <w:name w:val="Intense Quote Char"/>
    <w:link w:val="761"/>
    <w:uiPriority w:val="30"/>
    <w:rPr>
      <w:i/>
    </w:rPr>
  </w:style>
  <w:style w:type="character" w:styleId="730" w:customStyle="1">
    <w:name w:val="Footnote Text Char"/>
    <w:link w:val="896"/>
    <w:uiPriority w:val="99"/>
    <w:rPr>
      <w:sz w:val="18"/>
    </w:rPr>
  </w:style>
  <w:style w:type="character" w:styleId="731" w:customStyle="1">
    <w:name w:val="Endnote Text Char"/>
    <w:link w:val="899"/>
    <w:uiPriority w:val="99"/>
    <w:rPr>
      <w:sz w:val="20"/>
    </w:rPr>
  </w:style>
  <w:style w:type="paragraph" w:styleId="732" w:customStyle="1">
    <w:name w:val="Heading 1"/>
    <w:basedOn w:val="724"/>
    <w:next w:val="724"/>
    <w:link w:val="925"/>
    <w:uiPriority w:val="9"/>
    <w:qFormat/>
    <w:pPr>
      <w:jc w:val="center"/>
      <w:keepNext/>
      <w:outlineLvl w:val="0"/>
    </w:pPr>
    <w:rPr>
      <w:szCs w:val="20"/>
    </w:rPr>
  </w:style>
  <w:style w:type="paragraph" w:styleId="733" w:customStyle="1">
    <w:name w:val="Heading 2"/>
    <w:basedOn w:val="724"/>
    <w:next w:val="724"/>
    <w:link w:val="926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734" w:customStyle="1">
    <w:name w:val="Heading 3"/>
    <w:basedOn w:val="724"/>
    <w:next w:val="724"/>
    <w:link w:val="927"/>
    <w:qFormat/>
    <w:pPr>
      <w:ind w:right="-58"/>
      <w:keepNext/>
      <w:outlineLvl w:val="2"/>
    </w:pPr>
    <w:rPr>
      <w:szCs w:val="20"/>
    </w:rPr>
  </w:style>
  <w:style w:type="paragraph" w:styleId="735" w:customStyle="1">
    <w:name w:val="Heading 1"/>
    <w:basedOn w:val="724"/>
    <w:next w:val="724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6" w:customStyle="1">
    <w:name w:val="Heading 1 Char"/>
    <w:link w:val="735"/>
    <w:uiPriority w:val="9"/>
    <w:rPr>
      <w:rFonts w:ascii="Arial" w:hAnsi="Arial" w:eastAsia="Arial" w:cs="Arial"/>
      <w:sz w:val="40"/>
      <w:szCs w:val="40"/>
    </w:rPr>
  </w:style>
  <w:style w:type="paragraph" w:styleId="737" w:customStyle="1">
    <w:name w:val="Heading 2"/>
    <w:basedOn w:val="724"/>
    <w:next w:val="724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8" w:customStyle="1">
    <w:name w:val="Heading 2 Char"/>
    <w:link w:val="737"/>
    <w:uiPriority w:val="9"/>
    <w:rPr>
      <w:rFonts w:ascii="Arial" w:hAnsi="Arial" w:eastAsia="Arial" w:cs="Arial"/>
      <w:sz w:val="34"/>
    </w:rPr>
  </w:style>
  <w:style w:type="paragraph" w:styleId="739" w:customStyle="1">
    <w:name w:val="Heading 3"/>
    <w:basedOn w:val="724"/>
    <w:next w:val="724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0" w:customStyle="1">
    <w:name w:val="Heading 3 Char"/>
    <w:link w:val="739"/>
    <w:uiPriority w:val="9"/>
    <w:rPr>
      <w:rFonts w:ascii="Arial" w:hAnsi="Arial" w:eastAsia="Arial" w:cs="Arial"/>
      <w:sz w:val="30"/>
      <w:szCs w:val="30"/>
    </w:rPr>
  </w:style>
  <w:style w:type="paragraph" w:styleId="741" w:customStyle="1">
    <w:name w:val="Heading 4"/>
    <w:basedOn w:val="724"/>
    <w:next w:val="724"/>
    <w:link w:val="7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2" w:customStyle="1">
    <w:name w:val="Heading 4 Char"/>
    <w:link w:val="741"/>
    <w:uiPriority w:val="9"/>
    <w:rPr>
      <w:rFonts w:ascii="Arial" w:hAnsi="Arial" w:eastAsia="Arial" w:cs="Arial"/>
      <w:b/>
      <w:bCs/>
      <w:sz w:val="26"/>
      <w:szCs w:val="26"/>
    </w:rPr>
  </w:style>
  <w:style w:type="paragraph" w:styleId="743" w:customStyle="1">
    <w:name w:val="Heading 5"/>
    <w:basedOn w:val="724"/>
    <w:next w:val="724"/>
    <w:link w:val="7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</w:rPr>
  </w:style>
  <w:style w:type="character" w:styleId="744" w:customStyle="1">
    <w:name w:val="Heading 5 Char"/>
    <w:link w:val="743"/>
    <w:uiPriority w:val="9"/>
    <w:rPr>
      <w:rFonts w:ascii="Arial" w:hAnsi="Arial" w:eastAsia="Arial" w:cs="Arial"/>
      <w:b/>
      <w:bCs/>
      <w:sz w:val="24"/>
      <w:szCs w:val="24"/>
    </w:rPr>
  </w:style>
  <w:style w:type="paragraph" w:styleId="745" w:customStyle="1">
    <w:name w:val="Heading 6"/>
    <w:basedOn w:val="724"/>
    <w:next w:val="724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6" w:customStyle="1">
    <w:name w:val="Heading 6 Char"/>
    <w:link w:val="745"/>
    <w:uiPriority w:val="9"/>
    <w:rPr>
      <w:rFonts w:ascii="Arial" w:hAnsi="Arial" w:eastAsia="Arial" w:cs="Arial"/>
      <w:b/>
      <w:bCs/>
      <w:sz w:val="22"/>
      <w:szCs w:val="22"/>
    </w:rPr>
  </w:style>
  <w:style w:type="paragraph" w:styleId="747" w:customStyle="1">
    <w:name w:val="Heading 7"/>
    <w:basedOn w:val="724"/>
    <w:next w:val="724"/>
    <w:link w:val="7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8" w:customStyle="1">
    <w:name w:val="Heading 7 Char"/>
    <w:link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9" w:customStyle="1">
    <w:name w:val="Heading 8"/>
    <w:basedOn w:val="724"/>
    <w:next w:val="724"/>
    <w:link w:val="7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8 Char"/>
    <w:link w:val="749"/>
    <w:uiPriority w:val="9"/>
    <w:rPr>
      <w:rFonts w:ascii="Arial" w:hAnsi="Arial" w:eastAsia="Arial" w:cs="Arial"/>
      <w:i/>
      <w:iCs/>
      <w:sz w:val="22"/>
      <w:szCs w:val="22"/>
    </w:rPr>
  </w:style>
  <w:style w:type="paragraph" w:styleId="751" w:customStyle="1">
    <w:name w:val="Heading 9"/>
    <w:basedOn w:val="724"/>
    <w:next w:val="724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2" w:customStyle="1">
    <w:name w:val="Heading 9 Char"/>
    <w:link w:val="751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List Paragraph"/>
    <w:basedOn w:val="724"/>
    <w:link w:val="960"/>
    <w:uiPriority w:val="34"/>
    <w:qFormat/>
    <w:pPr>
      <w:contextualSpacing/>
      <w:ind w:left="720"/>
    </w:pPr>
    <w:rPr>
      <w:lang w:val="en-US" w:eastAsia="en-US"/>
    </w:rPr>
  </w:style>
  <w:style w:type="paragraph" w:styleId="754">
    <w:name w:val="No Spacing"/>
    <w:link w:val="949"/>
    <w:uiPriority w:val="1"/>
    <w:qFormat/>
    <w:pPr>
      <w:ind w:firstLine="709"/>
      <w:jc w:val="both"/>
      <w:spacing w:line="360" w:lineRule="auto"/>
    </w:pPr>
    <w:rPr>
      <w:rFonts w:ascii="Times New Roman" w:hAnsi="Times New Roman" w:eastAsia="Times New Roman"/>
      <w:sz w:val="28"/>
      <w:lang w:eastAsia="ru-RU"/>
    </w:rPr>
  </w:style>
  <w:style w:type="paragraph" w:styleId="755">
    <w:name w:val="Title"/>
    <w:basedOn w:val="724"/>
    <w:link w:val="918"/>
    <w:qFormat/>
    <w:pPr>
      <w:jc w:val="center"/>
    </w:pPr>
    <w:rPr>
      <w:szCs w:val="20"/>
    </w:rPr>
  </w:style>
  <w:style w:type="character" w:styleId="756" w:customStyle="1">
    <w:name w:val="Title Char"/>
    <w:link w:val="755"/>
    <w:uiPriority w:val="10"/>
    <w:rPr>
      <w:sz w:val="48"/>
      <w:szCs w:val="48"/>
    </w:rPr>
  </w:style>
  <w:style w:type="paragraph" w:styleId="757">
    <w:name w:val="Subtitle"/>
    <w:basedOn w:val="724"/>
    <w:next w:val="724"/>
    <w:link w:val="944"/>
    <w:qFormat/>
    <w:pPr>
      <w:jc w:val="center"/>
      <w:spacing w:after="60"/>
      <w:outlineLvl w:val="1"/>
    </w:pPr>
    <w:rPr>
      <w:rFonts w:ascii="Cambria" w:hAnsi="Cambria"/>
    </w:rPr>
  </w:style>
  <w:style w:type="character" w:styleId="758" w:customStyle="1">
    <w:name w:val="Subtitle Char"/>
    <w:link w:val="757"/>
    <w:uiPriority w:val="11"/>
    <w:rPr>
      <w:sz w:val="24"/>
      <w:szCs w:val="24"/>
    </w:rPr>
  </w:style>
  <w:style w:type="paragraph" w:styleId="759">
    <w:name w:val="Quote"/>
    <w:basedOn w:val="724"/>
    <w:next w:val="724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24"/>
    <w:next w:val="724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paragraph" w:styleId="763" w:customStyle="1">
    <w:name w:val="Header"/>
    <w:basedOn w:val="724"/>
    <w:link w:val="764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64" w:customStyle="1">
    <w:name w:val="Header Char"/>
    <w:link w:val="763"/>
    <w:uiPriority w:val="99"/>
  </w:style>
  <w:style w:type="paragraph" w:styleId="765" w:customStyle="1">
    <w:name w:val="Footer"/>
    <w:basedOn w:val="724"/>
    <w:link w:val="768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66" w:customStyle="1">
    <w:name w:val="Footer Char"/>
    <w:link w:val="765"/>
    <w:uiPriority w:val="99"/>
  </w:style>
  <w:style w:type="paragraph" w:styleId="767" w:customStyle="1">
    <w:name w:val="Caption"/>
    <w:basedOn w:val="724"/>
    <w:next w:val="724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 w:customStyle="1">
    <w:name w:val="Caption Char"/>
    <w:link w:val="765"/>
    <w:uiPriority w:val="99"/>
  </w:style>
  <w:style w:type="table" w:styleId="769">
    <w:name w:val="Table Grid"/>
    <w:basedOn w:val="726"/>
    <w:uiPriority w:val="59"/>
    <w:rPr>
      <w:rFonts w:eastAsia="Times New Roman"/>
      <w:lang w:eastAsia="ru-RU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7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4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8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9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7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5">
    <w:name w:val="Hyperlink"/>
    <w:basedOn w:val="725"/>
    <w:uiPriority w:val="99"/>
    <w:rPr>
      <w:color w:val="0000ff"/>
      <w:u w:val="single"/>
    </w:rPr>
  </w:style>
  <w:style w:type="paragraph" w:styleId="896">
    <w:name w:val="footnote text"/>
    <w:basedOn w:val="724"/>
    <w:link w:val="897"/>
    <w:uiPriority w:val="99"/>
    <w:semiHidden/>
    <w:unhideWhenUsed/>
    <w:pPr>
      <w:spacing w:after="40" w:line="240" w:lineRule="auto"/>
    </w:pPr>
    <w:rPr>
      <w:sz w:val="18"/>
    </w:rPr>
  </w:style>
  <w:style w:type="character" w:styleId="897" w:customStyle="1">
    <w:name w:val="Текст сноски Знак"/>
    <w:link w:val="896"/>
    <w:uiPriority w:val="99"/>
    <w:rPr>
      <w:sz w:val="18"/>
    </w:rPr>
  </w:style>
  <w:style w:type="character" w:styleId="898">
    <w:name w:val="footnote reference"/>
    <w:uiPriority w:val="99"/>
    <w:unhideWhenUsed/>
    <w:rPr>
      <w:vertAlign w:val="superscript"/>
    </w:rPr>
  </w:style>
  <w:style w:type="paragraph" w:styleId="899">
    <w:name w:val="endnote text"/>
    <w:basedOn w:val="724"/>
    <w:link w:val="900"/>
    <w:uiPriority w:val="99"/>
    <w:semiHidden/>
    <w:unhideWhenUsed/>
    <w:pPr>
      <w:spacing w:line="240" w:lineRule="auto"/>
    </w:pPr>
    <w:rPr>
      <w:sz w:val="20"/>
    </w:rPr>
  </w:style>
  <w:style w:type="character" w:styleId="900" w:customStyle="1">
    <w:name w:val="Текст концевой сноски Знак"/>
    <w:link w:val="899"/>
    <w:uiPriority w:val="99"/>
    <w:rPr>
      <w:sz w:val="20"/>
    </w:rPr>
  </w:style>
  <w:style w:type="character" w:styleId="901">
    <w:name w:val="endnote reference"/>
    <w:uiPriority w:val="99"/>
    <w:semiHidden/>
    <w:unhideWhenUsed/>
    <w:rPr>
      <w:vertAlign w:val="superscript"/>
    </w:rPr>
  </w:style>
  <w:style w:type="paragraph" w:styleId="902">
    <w:name w:val="toc 1"/>
    <w:basedOn w:val="724"/>
    <w:next w:val="724"/>
    <w:uiPriority w:val="39"/>
    <w:unhideWhenUsed/>
    <w:pPr>
      <w:ind w:firstLine="0"/>
      <w:tabs>
        <w:tab w:val="left" w:pos="660" w:leader="none"/>
        <w:tab w:val="right" w:pos="9628" w:leader="dot"/>
      </w:tabs>
    </w:pPr>
  </w:style>
  <w:style w:type="paragraph" w:styleId="903">
    <w:name w:val="toc 2"/>
    <w:basedOn w:val="724"/>
    <w:next w:val="724"/>
    <w:uiPriority w:val="39"/>
    <w:unhideWhenUsed/>
    <w:pPr>
      <w:ind w:firstLine="0"/>
      <w:spacing w:after="100"/>
      <w:tabs>
        <w:tab w:val="right" w:pos="9628" w:leader="dot"/>
      </w:tabs>
    </w:pPr>
    <w:rPr>
      <w:b/>
    </w:rPr>
  </w:style>
  <w:style w:type="paragraph" w:styleId="904">
    <w:name w:val="toc 3"/>
    <w:basedOn w:val="724"/>
    <w:next w:val="724"/>
    <w:uiPriority w:val="39"/>
    <w:unhideWhenUsed/>
    <w:pPr>
      <w:ind w:firstLine="0"/>
      <w:spacing w:after="100"/>
      <w:tabs>
        <w:tab w:val="right" w:pos="9628" w:leader="dot"/>
      </w:tabs>
    </w:pPr>
    <w:rPr>
      <w:sz w:val="25"/>
      <w:szCs w:val="25"/>
    </w:rPr>
  </w:style>
  <w:style w:type="paragraph" w:styleId="905">
    <w:name w:val="toc 4"/>
    <w:basedOn w:val="724"/>
    <w:next w:val="724"/>
    <w:uiPriority w:val="39"/>
    <w:unhideWhenUsed/>
    <w:pPr>
      <w:ind w:left="850" w:firstLine="0"/>
      <w:spacing w:after="57"/>
    </w:pPr>
  </w:style>
  <w:style w:type="paragraph" w:styleId="906">
    <w:name w:val="toc 5"/>
    <w:basedOn w:val="724"/>
    <w:next w:val="724"/>
    <w:uiPriority w:val="39"/>
    <w:unhideWhenUsed/>
    <w:pPr>
      <w:ind w:left="1134" w:firstLine="0"/>
      <w:spacing w:after="57"/>
    </w:pPr>
  </w:style>
  <w:style w:type="paragraph" w:styleId="907">
    <w:name w:val="toc 6"/>
    <w:basedOn w:val="724"/>
    <w:next w:val="724"/>
    <w:uiPriority w:val="39"/>
    <w:unhideWhenUsed/>
    <w:pPr>
      <w:ind w:left="1417" w:firstLine="0"/>
      <w:spacing w:after="57"/>
    </w:pPr>
  </w:style>
  <w:style w:type="paragraph" w:styleId="908">
    <w:name w:val="toc 7"/>
    <w:basedOn w:val="724"/>
    <w:next w:val="724"/>
    <w:uiPriority w:val="39"/>
    <w:unhideWhenUsed/>
    <w:pPr>
      <w:ind w:left="1701" w:firstLine="0"/>
      <w:spacing w:after="57"/>
    </w:pPr>
  </w:style>
  <w:style w:type="paragraph" w:styleId="909">
    <w:name w:val="toc 8"/>
    <w:basedOn w:val="724"/>
    <w:next w:val="724"/>
    <w:uiPriority w:val="39"/>
    <w:unhideWhenUsed/>
    <w:pPr>
      <w:ind w:left="1984" w:firstLine="0"/>
      <w:spacing w:after="57"/>
    </w:pPr>
  </w:style>
  <w:style w:type="paragraph" w:styleId="910">
    <w:name w:val="toc 9"/>
    <w:basedOn w:val="724"/>
    <w:next w:val="724"/>
    <w:uiPriority w:val="39"/>
    <w:unhideWhenUsed/>
    <w:pPr>
      <w:ind w:left="2268" w:firstLine="0"/>
      <w:spacing w:after="57"/>
    </w:pPr>
  </w:style>
  <w:style w:type="paragraph" w:styleId="911">
    <w:name w:val="TOC Heading"/>
    <w:basedOn w:val="732"/>
    <w:next w:val="724"/>
    <w:uiPriority w:val="39"/>
    <w:unhideWhenUsed/>
    <w:qFormat/>
    <w:pPr>
      <w:jc w:val="left"/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912">
    <w:name w:val="table of figures"/>
    <w:basedOn w:val="724"/>
    <w:next w:val="724"/>
    <w:uiPriority w:val="99"/>
    <w:unhideWhenUsed/>
  </w:style>
  <w:style w:type="paragraph" w:styleId="913">
    <w:name w:val="Normal (Web)"/>
    <w:basedOn w:val="724"/>
    <w:uiPriority w:val="99"/>
    <w:unhideWhenUsed/>
    <w:pPr>
      <w:ind w:left="75"/>
      <w:spacing w:before="30" w:after="75"/>
    </w:pPr>
    <w:rPr>
      <w:sz w:val="16"/>
      <w:szCs w:val="16"/>
    </w:rPr>
  </w:style>
  <w:style w:type="paragraph" w:styleId="914">
    <w:name w:val="Body Text Indent 3"/>
    <w:basedOn w:val="724"/>
    <w:link w:val="915"/>
    <w:uiPriority w:val="99"/>
    <w:unhideWhenUsed/>
    <w:pPr>
      <w:ind w:left="283"/>
      <w:spacing w:after="120"/>
    </w:pPr>
    <w:rPr>
      <w:sz w:val="16"/>
      <w:szCs w:val="16"/>
    </w:rPr>
  </w:style>
  <w:style w:type="character" w:styleId="915" w:customStyle="1">
    <w:name w:val="Основной текст с отступом 3 Знак"/>
    <w:basedOn w:val="725"/>
    <w:link w:val="91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16">
    <w:name w:val="Body Text Indent"/>
    <w:basedOn w:val="724"/>
    <w:link w:val="917"/>
    <w:unhideWhenUsed/>
    <w:pPr>
      <w:ind w:left="283"/>
      <w:spacing w:after="120"/>
    </w:pPr>
  </w:style>
  <w:style w:type="character" w:styleId="917" w:customStyle="1">
    <w:name w:val="Основной текст с отступом Знак"/>
    <w:basedOn w:val="725"/>
    <w:link w:val="91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8" w:customStyle="1">
    <w:name w:val="Название Знак"/>
    <w:basedOn w:val="725"/>
    <w:link w:val="75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19" w:customStyle="1">
    <w:name w:val="Header"/>
    <w:basedOn w:val="724"/>
    <w:link w:val="920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20" w:customStyle="1">
    <w:name w:val="Верхний колонтитул Знак"/>
    <w:basedOn w:val="725"/>
    <w:link w:val="9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1">
    <w:name w:val="Body Text"/>
    <w:basedOn w:val="724"/>
    <w:link w:val="922"/>
    <w:uiPriority w:val="99"/>
    <w:unhideWhenUsed/>
    <w:pPr>
      <w:jc w:val="left"/>
      <w:spacing w:after="120" w:line="240" w:lineRule="auto"/>
    </w:pPr>
    <w:rPr>
      <w:sz w:val="20"/>
      <w:szCs w:val="20"/>
    </w:rPr>
  </w:style>
  <w:style w:type="character" w:styleId="922" w:customStyle="1">
    <w:name w:val="Основной текст Знак"/>
    <w:basedOn w:val="725"/>
    <w:link w:val="92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3" w:customStyle="1">
    <w:name w:val="Footer"/>
    <w:basedOn w:val="724"/>
    <w:link w:val="924"/>
    <w:uiPriority w:val="99"/>
    <w:unhideWhenUsed/>
    <w:pPr>
      <w:jc w:val="left"/>
      <w:spacing w:line="240" w:lineRule="auto"/>
      <w:tabs>
        <w:tab w:val="center" w:pos="4677" w:leader="none"/>
        <w:tab w:val="right" w:pos="9355" w:leader="none"/>
      </w:tabs>
    </w:pPr>
    <w:rPr>
      <w:rFonts w:ascii="Calibri" w:hAnsi="Calibri" w:eastAsia="Calibri"/>
      <w:sz w:val="22"/>
      <w:szCs w:val="22"/>
      <w:lang w:eastAsia="en-US"/>
    </w:rPr>
  </w:style>
  <w:style w:type="character" w:styleId="924" w:customStyle="1">
    <w:name w:val="Нижний колонтитул Знак"/>
    <w:basedOn w:val="725"/>
    <w:link w:val="923"/>
    <w:uiPriority w:val="99"/>
  </w:style>
  <w:style w:type="character" w:styleId="925" w:customStyle="1">
    <w:name w:val="Заголовок 1 Знак"/>
    <w:basedOn w:val="725"/>
    <w:link w:val="73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26" w:customStyle="1">
    <w:name w:val="Заголовок 2 Знак"/>
    <w:basedOn w:val="725"/>
    <w:link w:val="733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27" w:customStyle="1">
    <w:name w:val="Заголовок 3 Знак"/>
    <w:basedOn w:val="725"/>
    <w:link w:val="73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28" w:customStyle="1">
    <w:name w:val="администрация"/>
    <w:basedOn w:val="724"/>
    <w:pPr>
      <w:jc w:val="center"/>
      <w:spacing w:line="240" w:lineRule="auto"/>
    </w:pPr>
    <w:rPr>
      <w:caps/>
    </w:rPr>
  </w:style>
  <w:style w:type="paragraph" w:styleId="929">
    <w:name w:val="Body Text First Indent"/>
    <w:basedOn w:val="921"/>
    <w:link w:val="930"/>
    <w:pPr>
      <w:ind w:firstLine="210"/>
    </w:pPr>
    <w:rPr>
      <w:sz w:val="24"/>
      <w:szCs w:val="24"/>
    </w:rPr>
  </w:style>
  <w:style w:type="character" w:styleId="930" w:customStyle="1">
    <w:name w:val="Красная строка Знак"/>
    <w:basedOn w:val="922"/>
    <w:link w:val="92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1" w:customStyle="1">
    <w:name w:val="Адресат (кому)"/>
    <w:basedOn w:val="724"/>
    <w:pPr>
      <w:jc w:val="left"/>
      <w:spacing w:line="240" w:lineRule="auto"/>
    </w:pPr>
    <w:rPr>
      <w:szCs w:val="20"/>
    </w:rPr>
  </w:style>
  <w:style w:type="paragraph" w:styleId="932" w:customStyle="1">
    <w:name w:val="заглавие"/>
    <w:basedOn w:val="724"/>
    <w:pPr>
      <w:jc w:val="left"/>
      <w:spacing w:line="240" w:lineRule="auto"/>
    </w:pPr>
    <w:rPr>
      <w:szCs w:val="20"/>
    </w:rPr>
  </w:style>
  <w:style w:type="paragraph" w:styleId="933" w:customStyle="1">
    <w:name w:val="Обращение"/>
    <w:basedOn w:val="724"/>
    <w:pPr>
      <w:jc w:val="center"/>
      <w:spacing w:line="240" w:lineRule="auto"/>
    </w:pPr>
    <w:rPr>
      <w:szCs w:val="28"/>
    </w:rPr>
  </w:style>
  <w:style w:type="paragraph" w:styleId="934" w:customStyle="1">
    <w:name w:val="ConsPlusNormal"/>
    <w:pPr>
      <w:ind w:firstLine="720"/>
    </w:pPr>
    <w:rPr>
      <w:rFonts w:ascii="Arial" w:hAnsi="Arial" w:eastAsia="Times New Roman" w:cs="Arial"/>
      <w:lang w:eastAsia="ru-RU"/>
    </w:rPr>
  </w:style>
  <w:style w:type="paragraph" w:styleId="935" w:customStyle="1">
    <w:name w:val="caaieiaie 4"/>
    <w:basedOn w:val="724"/>
    <w:next w:val="724"/>
    <w:pPr>
      <w:jc w:val="center"/>
      <w:keepNext/>
    </w:pPr>
    <w:rPr>
      <w:szCs w:val="28"/>
    </w:rPr>
  </w:style>
  <w:style w:type="paragraph" w:styleId="936" w:customStyle="1">
    <w:name w:val="caaieiaie 5"/>
    <w:basedOn w:val="724"/>
    <w:next w:val="724"/>
    <w:pPr>
      <w:keepNext/>
    </w:pPr>
    <w:rPr>
      <w:szCs w:val="28"/>
    </w:rPr>
  </w:style>
  <w:style w:type="paragraph" w:styleId="937" w:customStyle="1">
    <w:name w:val="caaieiaie 6"/>
    <w:basedOn w:val="724"/>
    <w:next w:val="724"/>
    <w:pPr>
      <w:jc w:val="center"/>
      <w:keepNext/>
    </w:pPr>
  </w:style>
  <w:style w:type="paragraph" w:styleId="938">
    <w:name w:val="Balloon Text"/>
    <w:basedOn w:val="724"/>
    <w:link w:val="939"/>
    <w:uiPriority w:val="99"/>
    <w:rPr>
      <w:rFonts w:ascii="Tahoma" w:hAnsi="Tahoma" w:cs="Tahoma"/>
      <w:sz w:val="16"/>
      <w:szCs w:val="16"/>
    </w:rPr>
  </w:style>
  <w:style w:type="character" w:styleId="939" w:customStyle="1">
    <w:name w:val="Текст выноски Знак"/>
    <w:basedOn w:val="725"/>
    <w:link w:val="938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40" w:customStyle="1">
    <w:name w:val="ConsPlusNonformat"/>
    <w:pPr>
      <w:jc w:val="both"/>
      <w:spacing w:line="360" w:lineRule="auto"/>
      <w:widowControl w:val="off"/>
    </w:pPr>
    <w:rPr>
      <w:rFonts w:ascii="Courier New" w:hAnsi="Courier New" w:eastAsia="Times New Roman" w:cs="Courier New"/>
      <w:lang w:eastAsia="ru-RU"/>
    </w:rPr>
  </w:style>
  <w:style w:type="paragraph" w:styleId="941" w:customStyle="1">
    <w:name w:val="заголовок 9"/>
    <w:basedOn w:val="724"/>
    <w:next w:val="724"/>
    <w:pPr>
      <w:ind w:right="-511"/>
      <w:jc w:val="center"/>
      <w:keepNext/>
      <w:tabs>
        <w:tab w:val="right" w:pos="9360" w:leader="underscore"/>
      </w:tabs>
    </w:pPr>
  </w:style>
  <w:style w:type="paragraph" w:styleId="942">
    <w:name w:val="Block Text"/>
    <w:basedOn w:val="724"/>
    <w:pPr>
      <w:ind w:left="-142" w:right="-908"/>
    </w:pPr>
    <w:rPr>
      <w:szCs w:val="20"/>
    </w:rPr>
  </w:style>
  <w:style w:type="numbering" w:styleId="943" w:customStyle="1">
    <w:name w:val="Нет списка1"/>
    <w:next w:val="727"/>
    <w:semiHidden/>
    <w:unhideWhenUsed/>
  </w:style>
  <w:style w:type="character" w:styleId="944" w:customStyle="1">
    <w:name w:val="Подзаголовок Знак"/>
    <w:basedOn w:val="725"/>
    <w:link w:val="757"/>
    <w:rPr>
      <w:rFonts w:ascii="Cambria" w:hAnsi="Cambria" w:eastAsia="Times New Roman" w:cs="Times New Roman"/>
      <w:sz w:val="24"/>
      <w:szCs w:val="24"/>
      <w:lang w:eastAsia="ru-RU"/>
    </w:rPr>
  </w:style>
  <w:style w:type="character" w:styleId="945">
    <w:name w:val="Emphasis"/>
    <w:basedOn w:val="725"/>
    <w:qFormat/>
    <w:rPr>
      <w:i/>
      <w:iCs/>
    </w:rPr>
  </w:style>
  <w:style w:type="character" w:styleId="946">
    <w:name w:val="page number"/>
    <w:basedOn w:val="725"/>
  </w:style>
  <w:style w:type="paragraph" w:styleId="947" w:customStyle="1">
    <w:name w:val="msonormalcxspmiddle"/>
    <w:basedOn w:val="724"/>
    <w:pPr>
      <w:jc w:val="left"/>
      <w:spacing w:before="100" w:beforeAutospacing="1" w:after="100" w:afterAutospacing="1" w:line="240" w:lineRule="auto"/>
    </w:pPr>
  </w:style>
  <w:style w:type="paragraph" w:styleId="948" w:customStyle="1">
    <w:name w:val="Default"/>
    <w:rPr>
      <w:rFonts w:ascii="Times New Roman" w:hAnsi="Times New Roman" w:eastAsia="Times New Roman"/>
      <w:color w:val="000000"/>
      <w:sz w:val="24"/>
      <w:szCs w:val="24"/>
      <w:lang w:eastAsia="en-US"/>
    </w:rPr>
  </w:style>
  <w:style w:type="character" w:styleId="949" w:customStyle="1">
    <w:name w:val="Без интервала Знак"/>
    <w:basedOn w:val="725"/>
    <w:link w:val="754"/>
    <w:uiPriority w:val="1"/>
    <w:rPr>
      <w:rFonts w:ascii="Times New Roman" w:hAnsi="Times New Roman" w:eastAsia="Times New Roman"/>
      <w:sz w:val="28"/>
      <w:lang w:val="ru-RU" w:eastAsia="ru-RU" w:bidi="ar-SA"/>
    </w:rPr>
  </w:style>
  <w:style w:type="table" w:styleId="950" w:customStyle="1">
    <w:name w:val="Сетка таблицы1"/>
    <w:basedOn w:val="726"/>
    <w:next w:val="769"/>
    <w:uiPriority w:val="5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951" w:customStyle="1">
    <w:name w:val="Абзац списка1"/>
    <w:basedOn w:val="724"/>
    <w:pPr>
      <w:contextualSpacing/>
      <w:ind w:left="720"/>
      <w:jc w:val="left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52">
    <w:name w:val="Strong"/>
    <w:uiPriority w:val="22"/>
    <w:qFormat/>
    <w:rPr>
      <w:b/>
      <w:bCs/>
    </w:rPr>
  </w:style>
  <w:style w:type="character" w:styleId="953" w:customStyle="1">
    <w:name w:val="Body text_"/>
    <w:link w:val="954"/>
    <w:uiPriority w:val="99"/>
    <w:rPr>
      <w:sz w:val="25"/>
      <w:shd w:val="clear" w:color="auto" w:fill="ffffff"/>
    </w:rPr>
  </w:style>
  <w:style w:type="paragraph" w:styleId="954" w:customStyle="1">
    <w:name w:val="Основной текст2"/>
    <w:basedOn w:val="724"/>
    <w:link w:val="953"/>
    <w:uiPriority w:val="99"/>
    <w:pPr>
      <w:ind w:hanging="1620"/>
      <w:jc w:val="left"/>
      <w:spacing w:before="240" w:after="420" w:line="240" w:lineRule="atLeast"/>
      <w:shd w:val="clear" w:color="auto" w:fill="ffffff"/>
    </w:pPr>
    <w:rPr>
      <w:rFonts w:ascii="Calibri" w:hAnsi="Calibri" w:eastAsia="Calibri"/>
      <w:sz w:val="25"/>
      <w:szCs w:val="20"/>
      <w:lang w:val="en-US" w:eastAsia="en-US"/>
    </w:rPr>
  </w:style>
  <w:style w:type="paragraph" w:styleId="955" w:customStyle="1">
    <w:name w:val="csd270a203"/>
    <w:basedOn w:val="724"/>
    <w:pPr>
      <w:ind w:firstLine="0"/>
      <w:spacing w:line="240" w:lineRule="auto"/>
    </w:pPr>
    <w:rPr>
      <w:sz w:val="24"/>
    </w:rPr>
  </w:style>
  <w:style w:type="character" w:styleId="956" w:customStyle="1">
    <w:name w:val="cs20fdfb881"/>
    <w:basedOn w:val="725"/>
    <w:rPr>
      <w:rFonts w:ascii="Courier New" w:hAnsi="Courier New" w:cs="Courier New"/>
      <w:color w:val="000000"/>
      <w:sz w:val="28"/>
      <w:szCs w:val="28"/>
    </w:rPr>
  </w:style>
  <w:style w:type="paragraph" w:styleId="957" w:customStyle="1">
    <w:name w:val="ConsPlusTitle"/>
    <w:pPr>
      <w:widowControl w:val="off"/>
    </w:pPr>
    <w:rPr>
      <w:rFonts w:ascii="Times New Roman" w:hAnsi="Times New Roman" w:eastAsia="Times New Roman"/>
      <w:b/>
      <w:sz w:val="28"/>
      <w:lang w:eastAsia="ru-RU"/>
    </w:rPr>
  </w:style>
  <w:style w:type="paragraph" w:styleId="958">
    <w:name w:val="Document Map"/>
    <w:basedOn w:val="724"/>
    <w:link w:val="959"/>
    <w:uiPriority w:val="99"/>
    <w:semiHidden/>
    <w:unhideWhenUsed/>
    <w:rPr>
      <w:rFonts w:ascii="Tahoma" w:hAnsi="Tahoma" w:cs="Tahoma"/>
      <w:sz w:val="16"/>
      <w:szCs w:val="16"/>
    </w:rPr>
  </w:style>
  <w:style w:type="character" w:styleId="959" w:customStyle="1">
    <w:name w:val="Схема документа Знак"/>
    <w:basedOn w:val="725"/>
    <w:link w:val="958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960" w:customStyle="1">
    <w:name w:val="Абзац списка Знак"/>
    <w:link w:val="753"/>
    <w:uiPriority w:val="34"/>
    <w:rPr>
      <w:rFonts w:ascii="Times New Roman" w:hAnsi="Times New Roman" w:eastAsia="Times New Roman"/>
      <w:sz w:val="28"/>
      <w:szCs w:val="24"/>
    </w:rPr>
  </w:style>
  <w:style w:type="character" w:styleId="961" w:customStyle="1">
    <w:name w:val="Основной текст Знак1"/>
    <w:uiPriority w:val="99"/>
  </w:style>
  <w:style w:type="paragraph" w:styleId="962" w:customStyle="1">
    <w:name w:val="Table Paragraph"/>
    <w:basedOn w:val="724"/>
    <w:uiPriority w:val="1"/>
    <w:qFormat/>
    <w:pPr>
      <w:ind w:firstLine="0"/>
      <w:jc w:val="left"/>
      <w:spacing w:line="240" w:lineRule="auto"/>
      <w:widowControl w:val="off"/>
    </w:pPr>
    <w:rPr>
      <w:sz w:val="22"/>
      <w:szCs w:val="22"/>
      <w:lang w:eastAsia="en-US"/>
    </w:rPr>
  </w:style>
  <w:style w:type="paragraph" w:styleId="963" w:customStyle="1">
    <w:name w:val="docdata"/>
    <w:basedOn w:val="724"/>
    <w:pPr>
      <w:ind w:firstLine="0"/>
      <w:jc w:val="left"/>
      <w:spacing w:before="100" w:beforeAutospacing="1" w:after="100" w:afterAutospacing="1" w:line="240" w:lineRule="auto"/>
    </w:pPr>
    <w:rPr>
      <w:sz w:val="24"/>
    </w:rPr>
  </w:style>
  <w:style w:type="paragraph" w:styleId="964">
    <w:name w:val="Header"/>
    <w:basedOn w:val="724"/>
    <w:link w:val="965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65" w:customStyle="1">
    <w:name w:val="Верхний колонтитул Знак1"/>
    <w:basedOn w:val="725"/>
    <w:link w:val="964"/>
    <w:uiPriority w:val="99"/>
    <w:semiHidden/>
    <w:rPr>
      <w:rFonts w:ascii="Times New Roman" w:hAnsi="Times New Roman" w:eastAsia="Times New Roman"/>
      <w:sz w:val="28"/>
      <w:szCs w:val="24"/>
      <w:lang w:eastAsia="ru-RU"/>
    </w:rPr>
  </w:style>
  <w:style w:type="paragraph" w:styleId="966" w:customStyle="1">
    <w:name w:val="Без интервала1"/>
    <w:uiPriority w:val="1"/>
    <w:qFormat/>
    <w:pPr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  <w:style w:type="paragraph" w:styleId="967" w:customStyle="1">
    <w:name w:val="Основной текст с отступом"/>
    <w:basedOn w:val="954"/>
    <w:next w:val="964"/>
    <w:link w:val="965"/>
    <w:unhideWhenUsed/>
    <w:pPr>
      <w:contextualSpacing w:val="0"/>
      <w:ind w:left="283" w:right="0" w:firstLine="709"/>
      <w:jc w:val="both"/>
      <w:keepLines w:val="0"/>
      <w:keepNext w:val="0"/>
      <w:pageBreakBefore w:val="0"/>
      <w:spacing w:before="0" w:beforeAutospacing="0" w:after="12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6AF85-E9B7-4F99-B2FA-B0AB9BBF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УФиЭ администрации г. Владивостока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Зикунов</dc:creator>
  <cp:lastModifiedBy>sopova</cp:lastModifiedBy>
  <cp:revision>2993</cp:revision>
  <dcterms:created xsi:type="dcterms:W3CDTF">2018-03-26T23:14:00Z</dcterms:created>
  <dcterms:modified xsi:type="dcterms:W3CDTF">2026-03-18T05:12:38Z</dcterms:modified>
  <cp:version>786432</cp:version>
</cp:coreProperties>
</file>